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optiflow-engineering-solutions-ltd."/>
    <w:p>
      <w:pPr>
        <w:pStyle w:val="Heading1"/>
      </w:pPr>
      <w:r>
        <w:t xml:space="preserve">OptiFlow Engineering Solutions Ltd.</w:t>
      </w:r>
    </w:p>
    <w:p>
      <w:pPr>
        <w:pStyle w:val="FirstParagraph"/>
      </w:pPr>
      <w:r>
        <w:t xml:space="preserve">12 Herzl Street, Jerusalem 91000, Israel</w:t>
      </w:r>
    </w:p>
    <w:p>
      <w:pPr>
        <w:pStyle w:val="BodyText"/>
      </w:pPr>
      <w:r>
        <w:t xml:space="preserve">Tel: +972-2-555-0147 | Email: quotes@optiflow-eng.co.il</w:t>
      </w:r>
    </w:p>
    <w:p>
      <w:pPr>
        <w:pStyle w:val="BodyText"/>
      </w:pPr>
      <w:r>
        <w:t xml:space="preserve">VAT No.: 51-234-567-8 | License: IE-IL-2024-0891</w:t>
      </w:r>
    </w:p>
    <w:bookmarkEnd w:id="20"/>
    <w:p>
      <w:pPr>
        <w:pStyle w:val="BodyText"/>
      </w:pPr>
      <w:r>
        <w:t xml:space="preserve">Quotation Estimate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Quotation Details</w:t>
            </w:r>
          </w:p>
        </w:tc>
        <w:tc>
          <w:tcPr/>
          <w:p>
            <w:pPr>
              <w:pStyle w:val="Compact"/>
              <w:jc w:val="left"/>
            </w:pPr>
            <w:r>
              <w:t xml:space="preserve">Client Information</w:t>
            </w:r>
          </w:p>
        </w:tc>
      </w:tr>
      <w:tr>
        <w:tc>
          <w:tcPr/>
          <w:p>
            <w:pPr>
              <w:pStyle w:val="Compact"/>
              <w:jc w:val="left"/>
            </w:pPr>
            <w:r>
              <w:rPr>
                <w:bCs/>
                <w:b/>
              </w:rPr>
              <w:t xml:space="preserve">Quotation No.:</w:t>
            </w:r>
            <w:r>
              <w:t xml:space="preserve"> </w:t>
            </w:r>
            <w:r>
              <w:t xml:space="preserve">QTE-2025-JER-0472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David Ben-Ari, Senior Project Manager</w:t>
            </w:r>
            <w:r>
              <w:br/>
            </w:r>
            <w:r>
              <w:rPr>
                <w:bCs/>
                <w:b/>
              </w:rPr>
              <w:t xml:space="preserve">Project Location:</w:t>
            </w:r>
            <w:r>
              <w:t xml:space="preserve"> </w:t>
            </w:r>
            <w:r>
              <w:t xml:space="preserve">Israel Jerusalem, Old City Industrial Zone</w:t>
            </w:r>
          </w:p>
        </w:tc>
        <w:tc>
          <w:tcPr/>
          <w:p>
            <w:pPr>
              <w:pStyle w:val="Compact"/>
              <w:jc w:val="left"/>
            </w:pPr>
            <w:r>
              <w:rPr>
                <w:bCs/>
                <w:b/>
              </w:rPr>
              <w:t xml:space="preserve">Client Name:</w:t>
            </w:r>
            <w:r>
              <w:t xml:space="preserve"> </w:t>
            </w:r>
            <w:r>
              <w:t xml:space="preserve">[Client Company Name]</w:t>
            </w:r>
            <w:r>
              <w:br/>
            </w:r>
            <w:r>
              <w:rPr>
                <w:bCs/>
                <w:b/>
              </w:rPr>
              <w:t xml:space="preserve">Address:</w:t>
            </w:r>
            <w:r>
              <w:t xml:space="preserve"> </w:t>
            </w:r>
            <w:r>
              <w:t xml:space="preserve">[Client Address], Israel Jerusalem</w:t>
            </w:r>
            <w:r>
              <w:br/>
            </w:r>
            <w:r>
              <w:rPr>
                <w:bCs/>
                <w:b/>
              </w:rPr>
              <w:t xml:space="preserve">Contact Person:</w:t>
            </w:r>
            <w:r>
              <w:t xml:space="preserve"> </w:t>
            </w:r>
            <w:r>
              <w:t xml:space="preserve">[Name]</w:t>
            </w:r>
            <w:r>
              <w:br/>
            </w:r>
            <w:r>
              <w:rPr>
                <w:bCs/>
                <w:b/>
              </w:rPr>
              <w:t xml:space="preserve">Email:</w:t>
            </w:r>
            <w:r>
              <w:t xml:space="preserve"> </w:t>
            </w:r>
            <w:r>
              <w:t xml:space="preserve">[email]</w:t>
            </w:r>
            <w:r>
              <w:br/>
            </w:r>
            <w:r>
              <w:rPr>
                <w:bCs/>
                <w:b/>
              </w:rPr>
              <w:t xml:space="preserve">Phone:</w:t>
            </w:r>
            <w:r>
              <w:t xml:space="preserve"> </w:t>
            </w:r>
            <w:r>
              <w:t xml:space="preserve">[Phone Number]</w:t>
            </w:r>
          </w:p>
        </w:tc>
      </w:tr>
    </w:tbl>
    <w:p>
      <w:pPr>
        <w:pStyle w:val="BodyText"/>
      </w:pPr>
      <w:r>
        <w:t xml:space="preserve">This</w:t>
      </w:r>
      <w:r>
        <w:t xml:space="preserve"> </w:t>
      </w:r>
      <w:r>
        <w:t xml:space="preserve">Quotation Estimate</w:t>
      </w:r>
      <w:r>
        <w:t xml:space="preserve"> </w:t>
      </w:r>
      <w:r>
        <w:t xml:space="preserve">is issued by OptiFlow Engineering Solutions Ltd. in response to the client's request for professional</w:t>
      </w:r>
      <w:r>
        <w:t xml:space="preserve"> </w:t>
      </w:r>
      <w:r>
        <w:t xml:space="preserve">Industrial Engineer</w:t>
      </w:r>
      <w:r>
        <w:t xml:space="preserve"> </w:t>
      </w:r>
      <w:r>
        <w:t xml:space="preserve">consulting and implementation services to be delivered at the client's facility located in</w:t>
      </w:r>
      <w:r>
        <w:t xml:space="preserve"> </w:t>
      </w:r>
      <w:r>
        <w:t xml:space="preserve">Israel Jerusalem</w:t>
      </w:r>
      <w:r>
        <w:t xml:space="preserve">. This document outlines the full scope of work, associated costs, timelines, and terms governing the engagement. All pricing is presented in New Israeli Shekels (NIS) and is subject to the conditions stated herein.</w:t>
      </w:r>
    </w:p>
    <w:bookmarkStart w:id="21" w:name="X01245379c20d5a50d615d236ee590d632ab4958"/>
    <w:p>
      <w:pPr>
        <w:pStyle w:val="Heading2"/>
      </w:pPr>
      <w:r>
        <w:t xml:space="preserve">1. Scope of Work – Industrial Engineer Services in Israel Jerusalem</w:t>
      </w:r>
    </w:p>
    <w:p>
      <w:pPr>
        <w:pStyle w:val="FirstParagraph"/>
      </w:pPr>
      <w:r>
        <w:t xml:space="preserve">The</w:t>
      </w:r>
      <w:r>
        <w:t xml:space="preserve"> </w:t>
      </w:r>
      <w:r>
        <w:t xml:space="preserve">Industrial Engineer</w:t>
      </w:r>
      <w:r>
        <w:t xml:space="preserve"> </w:t>
      </w:r>
      <w:r>
        <w:t xml:space="preserve">engagement proposed in this</w:t>
      </w:r>
      <w:r>
        <w:t xml:space="preserve"> </w:t>
      </w:r>
      <w:r>
        <w:t xml:space="preserve">Quotation Estimate</w:t>
      </w:r>
      <w:r>
        <w:t xml:space="preserve"> </w:t>
      </w:r>
      <w:r>
        <w:t xml:space="preserve">encompasses a comprehensive operational optimization program tailored to the client's manufacturing and logistics operations in</w:t>
      </w:r>
      <w:r>
        <w:t xml:space="preserve"> </w:t>
      </w:r>
      <w:r>
        <w:t xml:space="preserve">Israel Jerusalem</w:t>
      </w:r>
      <w:r>
        <w:t xml:space="preserve">. The scope includes, but is not limited to, the following deliverables:</w:t>
      </w:r>
    </w:p>
    <w:p>
      <w:pPr>
        <w:numPr>
          <w:ilvl w:val="0"/>
          <w:numId w:val="1001"/>
        </w:numPr>
        <w:pStyle w:val="Compact"/>
      </w:pPr>
      <w:r>
        <w:rPr>
          <w:bCs/>
          <w:b/>
        </w:rPr>
        <w:t xml:space="preserve">Process Mapping &amp; Analysis:</w:t>
      </w:r>
      <w:r>
        <w:t xml:space="preserve"> </w:t>
      </w:r>
      <w:r>
        <w:t xml:space="preserve">A full audit of existing production workflows, value-stream mapping, and identification of bottlenecks across all operational lines situated in the Israel Jerusalem facility.</w:t>
      </w:r>
    </w:p>
    <w:p>
      <w:pPr>
        <w:numPr>
          <w:ilvl w:val="0"/>
          <w:numId w:val="1001"/>
        </w:numPr>
        <w:pStyle w:val="Compact"/>
      </w:pPr>
      <w:r>
        <w:rPr>
          <w:bCs/>
          <w:b/>
        </w:rPr>
        <w:t xml:space="preserve">Workforce &amp; Labor Standards:</w:t>
      </w:r>
      <w:r>
        <w:t xml:space="preserve"> </w:t>
      </w:r>
      <w:r>
        <w:t xml:space="preserve">Development of time-and-motion studies, standard work procedures, and ergonomic assessments compliant with Israeli Ministry of Labor regulations applicable in Israel Jerusalem.</w:t>
      </w:r>
    </w:p>
    <w:p>
      <w:pPr>
        <w:numPr>
          <w:ilvl w:val="0"/>
          <w:numId w:val="1001"/>
        </w:numPr>
        <w:pStyle w:val="Compact"/>
      </w:pPr>
      <w:r>
        <w:rPr>
          <w:bCs/>
          <w:b/>
        </w:rPr>
        <w:t xml:space="preserve">Facility Layout Optimization:</w:t>
      </w:r>
      <w:r>
        <w:t xml:space="preserve"> </w:t>
      </w:r>
      <w:r>
        <w:t xml:space="preserve">Redesign of the plant floor layout to minimize material handling distances, improve throughput, and ensure compliance with local zoning and safety codes specific to the Israel Jerusalem industrial district.</w:t>
      </w:r>
    </w:p>
    <w:p>
      <w:pPr>
        <w:numPr>
          <w:ilvl w:val="0"/>
          <w:numId w:val="1001"/>
        </w:numPr>
        <w:pStyle w:val="Compact"/>
      </w:pPr>
      <w:r>
        <w:rPr>
          <w:bCs/>
          <w:b/>
        </w:rPr>
        <w:t xml:space="preserve">Quality Systems Integration:</w:t>
      </w:r>
      <w:r>
        <w:t xml:space="preserve"> </w:t>
      </w:r>
      <w:r>
        <w:t xml:space="preserve">Implementation of statistical process control (SPC) methodologies, Six Sigma DMAIC projects, and ISO 9001 alignment for the client's quality management system.</w:t>
      </w:r>
    </w:p>
    <w:p>
      <w:pPr>
        <w:numPr>
          <w:ilvl w:val="0"/>
          <w:numId w:val="1001"/>
        </w:numPr>
        <w:pStyle w:val="Compact"/>
      </w:pPr>
      <w:r>
        <w:rPr>
          <w:bCs/>
          <w:b/>
        </w:rPr>
        <w:t xml:space="preserve">Supply Chain &amp; Inventory Optimization:</w:t>
      </w:r>
      <w:r>
        <w:t xml:space="preserve"> </w:t>
      </w:r>
      <w:r>
        <w:t xml:space="preserve">Development of lean inventory models, demand forecasting frameworks, and vendor evaluation matrices suited to the Israel Jerusalem market conditions.</w:t>
      </w:r>
    </w:p>
    <w:p>
      <w:pPr>
        <w:numPr>
          <w:ilvl w:val="0"/>
          <w:numId w:val="1001"/>
        </w:numPr>
        <w:pStyle w:val="Compact"/>
      </w:pPr>
      <w:r>
        <w:rPr>
          <w:bCs/>
          <w:b/>
        </w:rPr>
        <w:t xml:space="preserve">Automation &amp; Technology Assessment:</w:t>
      </w:r>
      <w:r>
        <w:t xml:space="preserve"> </w:t>
      </w:r>
      <w:r>
        <w:t xml:space="preserve">Feasibility study for robotic integration, IoT sensor deployment, and digital twin modeling to enhance operational visibility.</w:t>
      </w:r>
    </w:p>
    <w:p>
      <w:pPr>
        <w:numPr>
          <w:ilvl w:val="0"/>
          <w:numId w:val="1001"/>
        </w:numPr>
        <w:pStyle w:val="Compact"/>
      </w:pPr>
      <w:r>
        <w:rPr>
          <w:bCs/>
          <w:b/>
        </w:rPr>
        <w:t xml:space="preserve">Training &amp; Knowledge Transfer:</w:t>
      </w:r>
      <w:r>
        <w:t xml:space="preserve"> </w:t>
      </w:r>
      <w:r>
        <w:t xml:space="preserve">On-site training sessions for the client's supervisory and engineering staff to ensure sustainable adoption of the</w:t>
      </w:r>
      <w:r>
        <w:t xml:space="preserve"> </w:t>
      </w:r>
      <w:r>
        <w:t xml:space="preserve">Industrial Engineer</w:t>
      </w:r>
      <w:r>
        <w:t xml:space="preserve"> </w:t>
      </w:r>
      <w:r>
        <w:t xml:space="preserve">methodologies introduced.</w:t>
      </w:r>
    </w:p>
    <w:bookmarkEnd w:id="21"/>
    <w:bookmarkStart w:id="22" w:name="Xe0d855c7c597480bbf70fab7c81f89c20a8fc33"/>
    <w:p>
      <w:pPr>
        <w:pStyle w:val="Heading2"/>
      </w:pPr>
      <w:r>
        <w:t xml:space="preserve">2. Quotation Estimate –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(NIS)</w:t>
            </w:r>
          </w:p>
        </w:tc>
        <w:tc>
          <w:tcPr/>
          <w:p>
            <w:pPr>
              <w:pStyle w:val="Compact"/>
              <w:jc w:val="left"/>
            </w:pPr>
            <w:r>
              <w:t xml:space="preserve">Quantity</w:t>
            </w:r>
          </w:p>
        </w:tc>
        <w:tc>
          <w:tcPr/>
          <w:p>
            <w:pPr>
              <w:pStyle w:val="Compact"/>
              <w:jc w:val="left"/>
            </w:pPr>
            <w:r>
              <w:t xml:space="preserve">Amount (NIS)</w:t>
            </w:r>
          </w:p>
        </w:tc>
      </w:tr>
      <w:tr>
        <w:tc>
          <w:tcPr/>
          <w:p>
            <w:pPr>
              <w:pStyle w:val="Compact"/>
              <w:jc w:val="left"/>
            </w:pPr>
            <w:r>
              <w:t xml:space="preserve">1</w:t>
            </w:r>
          </w:p>
        </w:tc>
        <w:tc>
          <w:tcPr/>
          <w:p>
            <w:pPr>
              <w:pStyle w:val="Compact"/>
              <w:jc w:val="left"/>
            </w:pPr>
            <w:r>
              <w:t xml:space="preserve">Initial site assessment and process mapping – Israel Jerusalem facility</w:t>
            </w:r>
          </w:p>
        </w:tc>
        <w:tc>
          <w:tcPr/>
          <w:p>
            <w:pPr>
              <w:pStyle w:val="Compact"/>
              <w:jc w:val="left"/>
            </w:pPr>
            <w:r>
              <w:t xml:space="preserve">5 days</w:t>
            </w:r>
          </w:p>
        </w:tc>
        <w:tc>
          <w:tcPr/>
          <w:p>
            <w:pPr>
              <w:pStyle w:val="Compact"/>
              <w:jc w:val="left"/>
            </w:pPr>
            <w:r>
              <w:t xml:space="preserve">4,500</w:t>
            </w:r>
          </w:p>
        </w:tc>
        <w:tc>
          <w:tcPr/>
          <w:p>
            <w:pPr>
              <w:pStyle w:val="Compact"/>
              <w:jc w:val="left"/>
            </w:pPr>
            <w:r>
              <w:t xml:space="preserve">1</w:t>
            </w:r>
          </w:p>
        </w:tc>
        <w:tc>
          <w:tcPr/>
          <w:p>
            <w:pPr>
              <w:pStyle w:val="Compact"/>
              <w:jc w:val="left"/>
            </w:pPr>
            <w:r>
              <w:t xml:space="preserve">22,500</w:t>
            </w:r>
          </w:p>
        </w:tc>
      </w:tr>
      <w:tr>
        <w:tc>
          <w:tcPr/>
          <w:p>
            <w:pPr>
              <w:pStyle w:val="Compact"/>
              <w:jc w:val="left"/>
            </w:pPr>
            <w:r>
              <w:t xml:space="preserve">2</w:t>
            </w:r>
          </w:p>
        </w:tc>
        <w:tc>
          <w:tcPr/>
          <w:p>
            <w:pPr>
              <w:pStyle w:val="Compact"/>
              <w:jc w:val="left"/>
            </w:pPr>
            <w:r>
              <w:t xml:space="preserve">Workforce standards development and ergonomic audit</w:t>
            </w:r>
          </w:p>
        </w:tc>
        <w:tc>
          <w:tcPr/>
          <w:p>
            <w:pPr>
              <w:pStyle w:val="Compact"/>
              <w:jc w:val="left"/>
            </w:pPr>
            <w:r>
              <w:t xml:space="preserve">10 days</w:t>
            </w:r>
          </w:p>
        </w:tc>
        <w:tc>
          <w:tcPr/>
          <w:p>
            <w:pPr>
              <w:pStyle w:val="Compact"/>
              <w:jc w:val="left"/>
            </w:pPr>
            <w:r>
              <w:t xml:space="preserve">4,200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3</w:t>
            </w:r>
          </w:p>
        </w:tc>
        <w:tc>
          <w:tcPr/>
          <w:p>
            <w:pPr>
              <w:pStyle w:val="Compact"/>
              <w:jc w:val="left"/>
            </w:pPr>
            <w:r>
              <w:t xml:space="preserve">Facility layout redesign and 3D modeling</w:t>
            </w:r>
          </w:p>
        </w:tc>
        <w:tc>
          <w:tcPr/>
          <w:p>
            <w:pPr>
              <w:pStyle w:val="Compact"/>
              <w:jc w:val="left"/>
            </w:pPr>
            <w:r>
              <w:t xml:space="preserve">15 days</w:t>
            </w:r>
          </w:p>
        </w:tc>
        <w:tc>
          <w:tcPr/>
          <w:p>
            <w:pPr>
              <w:pStyle w:val="Compact"/>
              <w:jc w:val="left"/>
            </w:pPr>
            <w:r>
              <w:t xml:space="preserve">4,800</w:t>
            </w:r>
          </w:p>
        </w:tc>
        <w:tc>
          <w:tcPr/>
          <w:p>
            <w:pPr>
              <w:pStyle w:val="Compact"/>
              <w:jc w:val="left"/>
            </w:pPr>
            <w:r>
              <w:t xml:space="preserve">1</w:t>
            </w:r>
          </w:p>
        </w:tc>
        <w:tc>
          <w:tcPr/>
          <w:p>
            <w:pPr>
              <w:pStyle w:val="Compact"/>
              <w:jc w:val="left"/>
            </w:pPr>
            <w:r>
              <w:t xml:space="preserve">72,000</w:t>
            </w:r>
          </w:p>
        </w:tc>
      </w:tr>
      <w:tr>
        <w:tc>
          <w:tcPr/>
          <w:p>
            <w:pPr>
              <w:pStyle w:val="Compact"/>
              <w:jc w:val="left"/>
            </w:pPr>
            <w:r>
              <w:t xml:space="preserve">4</w:t>
            </w:r>
          </w:p>
        </w:tc>
        <w:tc>
          <w:tcPr/>
          <w:p>
            <w:pPr>
              <w:pStyle w:val="Compact"/>
              <w:jc w:val="left"/>
            </w:pPr>
            <w:r>
              <w:t xml:space="preserve">Quality systems implementation (SPC, Six Sigma, ISO 9001)</w:t>
            </w:r>
          </w:p>
        </w:tc>
        <w:tc>
          <w:tcPr/>
          <w:p>
            <w:pPr>
              <w:pStyle w:val="Compact"/>
              <w:jc w:val="left"/>
            </w:pPr>
            <w:r>
              <w:t xml:space="preserve">20 days</w:t>
            </w:r>
          </w:p>
        </w:tc>
        <w:tc>
          <w:tcPr/>
          <w:p>
            <w:pPr>
              <w:pStyle w:val="Compact"/>
              <w:jc w:val="left"/>
            </w:pPr>
            <w:r>
              <w:t xml:space="preserve">4,500</w:t>
            </w:r>
          </w:p>
        </w:tc>
        <w:tc>
          <w:tcPr/>
          <w:p>
            <w:pPr>
              <w:pStyle w:val="Compact"/>
              <w:jc w:val="left"/>
            </w:pPr>
            <w:r>
              <w:t xml:space="preserve">1</w:t>
            </w:r>
          </w:p>
        </w:tc>
        <w:tc>
          <w:tcPr/>
          <w:p>
            <w:pPr>
              <w:pStyle w:val="Compact"/>
              <w:jc w:val="left"/>
            </w:pPr>
            <w:r>
              <w:t xml:space="preserve">90,000</w:t>
            </w:r>
          </w:p>
        </w:tc>
      </w:tr>
      <w:tr>
        <w:tc>
          <w:tcPr/>
          <w:p>
            <w:pPr>
              <w:pStyle w:val="Compact"/>
              <w:jc w:val="left"/>
            </w:pPr>
            <w:r>
              <w:t xml:space="preserve">5</w:t>
            </w:r>
          </w:p>
        </w:tc>
        <w:tc>
          <w:tcPr/>
          <w:p>
            <w:pPr>
              <w:pStyle w:val="Compact"/>
              <w:jc w:val="left"/>
            </w:pPr>
            <w:r>
              <w:t xml:space="preserve">Supply chain optimization and inventory modeling</w:t>
            </w:r>
          </w:p>
        </w:tc>
        <w:tc>
          <w:tcPr/>
          <w:p>
            <w:pPr>
              <w:pStyle w:val="Compact"/>
              <w:jc w:val="left"/>
            </w:pPr>
            <w:r>
              <w:t xml:space="preserve">12 days</w:t>
            </w:r>
          </w:p>
        </w:tc>
        <w:tc>
          <w:tcPr/>
          <w:p>
            <w:pPr>
              <w:pStyle w:val="Compact"/>
              <w:jc w:val="left"/>
            </w:pPr>
            <w:r>
              <w:t xml:space="preserve">4,300</w:t>
            </w:r>
          </w:p>
        </w:tc>
        <w:tc>
          <w:tcPr/>
          <w:p>
            <w:pPr>
              <w:pStyle w:val="Compact"/>
              <w:jc w:val="left"/>
            </w:pPr>
            <w:r>
              <w:t xml:space="preserve">1</w:t>
            </w:r>
          </w:p>
        </w:tc>
        <w:tc>
          <w:tcPr/>
          <w:p>
            <w:pPr>
              <w:pStyle w:val="Compact"/>
              <w:jc w:val="left"/>
            </w:pPr>
            <w:r>
              <w:t xml:space="preserve">51,600</w:t>
            </w:r>
          </w:p>
        </w:tc>
      </w:tr>
      <w:tr>
        <w:tc>
          <w:tcPr/>
          <w:p>
            <w:pPr>
              <w:pStyle w:val="Compact"/>
              <w:jc w:val="left"/>
            </w:pPr>
            <w:r>
              <w:t xml:space="preserve">6</w:t>
            </w:r>
          </w:p>
        </w:tc>
        <w:tc>
          <w:tcPr/>
          <w:p>
            <w:pPr>
              <w:pStyle w:val="Compact"/>
              <w:jc w:val="left"/>
            </w:pPr>
            <w:r>
              <w:t xml:space="preserve">Automation feasibility study and technology roadmap</w:t>
            </w:r>
          </w:p>
        </w:tc>
        <w:tc>
          <w:tcPr/>
          <w:p>
            <w:pPr>
              <w:pStyle w:val="Compact"/>
              <w:jc w:val="left"/>
            </w:pPr>
            <w:r>
              <w:t xml:space="preserve">8 days</w:t>
            </w:r>
          </w:p>
        </w:tc>
        <w:tc>
          <w:tcPr/>
          <w:p>
            <w:pPr>
              <w:pStyle w:val="Compact"/>
              <w:jc w:val="left"/>
            </w:pPr>
            <w:r>
              <w:t xml:space="preserve">5,000</w:t>
            </w:r>
          </w:p>
        </w:tc>
        <w:tc>
          <w:tcPr/>
          <w:p>
            <w:pPr>
              <w:pStyle w:val="Compact"/>
              <w:jc w:val="left"/>
            </w:pPr>
            <w:r>
              <w:t xml:space="preserve">1</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Staff training program (4 sessions, 8 hours each)</w:t>
            </w:r>
          </w:p>
        </w:tc>
        <w:tc>
          <w:tcPr/>
          <w:p>
            <w:pPr>
              <w:pStyle w:val="Compact"/>
              <w:jc w:val="left"/>
            </w:pPr>
            <w:r>
              <w:t xml:space="preserve">4 days</w:t>
            </w:r>
          </w:p>
        </w:tc>
        <w:tc>
          <w:tcPr/>
          <w:p>
            <w:pPr>
              <w:pStyle w:val="Compact"/>
              <w:jc w:val="left"/>
            </w:pPr>
            <w:r>
              <w:t xml:space="preserve">3,800</w:t>
            </w:r>
          </w:p>
        </w:tc>
        <w:tc>
          <w:tcPr/>
          <w:p>
            <w:pPr>
              <w:pStyle w:val="Compact"/>
              <w:jc w:val="left"/>
            </w:pPr>
            <w:r>
              <w:t xml:space="preserve">1</w:t>
            </w:r>
          </w:p>
        </w:tc>
        <w:tc>
          <w:tcPr/>
          <w:p>
            <w:pPr>
              <w:pStyle w:val="Compact"/>
              <w:jc w:val="left"/>
            </w:pPr>
            <w:r>
              <w:t xml:space="preserve">15,200</w:t>
            </w:r>
          </w:p>
        </w:tc>
      </w:tr>
      <w:tr>
        <w:tc>
          <w:tcPr/>
          <w:p>
            <w:pPr>
              <w:pStyle w:val="Compact"/>
              <w:jc w:val="left"/>
            </w:pPr>
            <w:r>
              <w:t xml:space="preserve">8</w:t>
            </w:r>
          </w:p>
        </w:tc>
        <w:tc>
          <w:tcPr/>
          <w:p>
            <w:pPr>
              <w:pStyle w:val="Compact"/>
              <w:jc w:val="left"/>
            </w:pPr>
            <w:r>
              <w:t xml:space="preserve">Project management, reporting, and final documentation</w:t>
            </w:r>
          </w:p>
        </w:tc>
        <w:tc>
          <w:tcPr/>
          <w:p>
            <w:pPr>
              <w:pStyle w:val="Compact"/>
              <w:jc w:val="left"/>
            </w:pPr>
            <w:r>
              <w:t xml:space="preserve">10 days</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40,000</w:t>
            </w:r>
          </w:p>
        </w:tc>
      </w:tr>
      <w:tr>
        <w:tc>
          <w:tcPr/>
          <w:p>
            <w:pPr>
              <w:pStyle w:val="Compact"/>
              <w:jc w:val="left"/>
            </w:pPr>
            <w:r>
              <w:t xml:space="preserve">9</w:t>
            </w:r>
          </w:p>
        </w:tc>
        <w:tc>
          <w:tcPr/>
          <w:p>
            <w:pPr>
              <w:pStyle w:val="Compact"/>
              <w:jc w:val="left"/>
            </w:pPr>
            <w:r>
              <w:t xml:space="preserve">Travel, accommodation, and local transport within Israel Jerusalem</w:t>
            </w:r>
          </w:p>
        </w:tc>
        <w:tc>
          <w:tcPr/>
          <w:p>
            <w:pPr>
              <w:pStyle w:val="Compact"/>
              <w:jc w:val="left"/>
            </w:pPr>
            <w:r>
              <w:t xml:space="preserve">85 days</w:t>
            </w:r>
          </w:p>
        </w:tc>
        <w:tc>
          <w:tcPr/>
          <w:p>
            <w:pPr>
              <w:pStyle w:val="Compact"/>
              <w:jc w:val="left"/>
            </w:pPr>
            <w:r>
              <w:t xml:space="preserve">1,200</w:t>
            </w:r>
          </w:p>
        </w:tc>
        <w:tc>
          <w:tcPr/>
          <w:p>
            <w:pPr>
              <w:pStyle w:val="Compact"/>
              <w:jc w:val="left"/>
            </w:pPr>
            <w:r>
              <w:t xml:space="preserve">1</w:t>
            </w:r>
          </w:p>
        </w:tc>
        <w:tc>
          <w:tcPr/>
          <w:p>
            <w:pPr>
              <w:pStyle w:val="Compact"/>
              <w:jc w:val="left"/>
            </w:pPr>
            <w:r>
              <w:t xml:space="preserve">102,000</w:t>
            </w:r>
          </w:p>
        </w:tc>
      </w:tr>
      <w:tr>
        <w:tc>
          <w:tcPr/>
          <w:p>
            <w:pPr>
              <w:pStyle w:val="Compact"/>
              <w:jc w:val="left"/>
            </w:pPr>
            <w:r>
              <w:t xml:space="preserve">10</w:t>
            </w:r>
          </w:p>
        </w:tc>
        <w:tc>
          <w:tcPr/>
          <w:p>
            <w:pPr>
              <w:pStyle w:val="Compact"/>
              <w:jc w:val="left"/>
            </w:pPr>
            <w:r>
              <w:t xml:space="preserve">Software licenses (simulation, SPC, CAD tools) – one-year subscription</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w:t>
            </w:r>
          </w:p>
        </w:tc>
        <w:tc>
          <w:tcPr/>
          <w:p>
            <w:pPr>
              <w:pStyle w:val="Compact"/>
              <w:jc w:val="left"/>
            </w:pPr>
            <w:r>
              <w:t xml:space="preserve">35,000</w:t>
            </w:r>
          </w:p>
        </w:tc>
      </w:tr>
      <w:tr>
        <w:tc>
          <w:tcPr>
            <w:gridSpan w:val="5"/>
          </w:tcPr>
          <w:p>
            <w:pPr>
              <w:pStyle w:val="Compact"/>
              <w:jc w:val="left"/>
            </w:pPr>
            <w:r>
              <w:t xml:space="preserve">Subtotal</w:t>
            </w:r>
          </w:p>
        </w:tc>
        <w:tc>
          <w:tcPr/>
          <w:p>
            <w:pPr>
              <w:pStyle w:val="Compact"/>
              <w:jc w:val="left"/>
            </w:pPr>
            <w:r>
              <w:t xml:space="preserve">510,300</w:t>
            </w:r>
          </w:p>
        </w:tc>
      </w:tr>
      <w:tr>
        <w:tc>
          <w:tcPr>
            <w:gridSpan w:val="5"/>
          </w:tcPr>
          <w:p>
            <w:pPr>
              <w:pStyle w:val="Compact"/>
              <w:jc w:val="left"/>
            </w:pPr>
            <w:r>
              <w:t xml:space="preserve">VAT (18%)</w:t>
            </w:r>
          </w:p>
        </w:tc>
        <w:tc>
          <w:tcPr/>
          <w:p>
            <w:pPr>
              <w:pStyle w:val="Compact"/>
              <w:jc w:val="left"/>
            </w:pPr>
            <w:r>
              <w:t xml:space="preserve">91,854</w:t>
            </w:r>
          </w:p>
        </w:tc>
      </w:tr>
      <w:tr>
        <w:tc>
          <w:tcPr>
            <w:gridSpan w:val="5"/>
          </w:tcPr>
          <w:p>
            <w:pPr>
              <w:pStyle w:val="Compact"/>
              <w:jc w:val="left"/>
            </w:pPr>
            <w:r>
              <w:t xml:space="preserve">TOTAL AMOUNT (NIS)</w:t>
            </w:r>
          </w:p>
        </w:tc>
        <w:tc>
          <w:tcPr/>
          <w:p>
            <w:pPr>
              <w:pStyle w:val="Compact"/>
              <w:jc w:val="left"/>
            </w:pPr>
            <w:r>
              <w:t xml:space="preserve">602,154</w:t>
            </w:r>
          </w:p>
        </w:tc>
      </w:tr>
    </w:tbl>
    <w:bookmarkEnd w:id="22"/>
    <w:bookmarkStart w:id="23" w:name="project-timeline"/>
    <w:p>
      <w:pPr>
        <w:pStyle w:val="Heading2"/>
      </w:pPr>
      <w:r>
        <w:t xml:space="preserve">3. Project Timeline</w:t>
      </w:r>
    </w:p>
    <w:p>
      <w:pPr>
        <w:pStyle w:val="FirstParagraph"/>
      </w:pPr>
      <w:r>
        <w:t xml:space="preserve">The total estimated duration for the</w:t>
      </w:r>
      <w:r>
        <w:t xml:space="preserve"> </w:t>
      </w:r>
      <w:r>
        <w:t xml:space="preserve">Industrial Engineer</w:t>
      </w:r>
      <w:r>
        <w:t xml:space="preserve"> </w:t>
      </w:r>
      <w:r>
        <w:t xml:space="preserve">engagement in</w:t>
      </w:r>
      <w:r>
        <w:t xml:space="preserve"> </w:t>
      </w:r>
      <w:r>
        <w:t xml:space="preserve">Israel Jerusalem</w:t>
      </w:r>
      <w:r>
        <w:t xml:space="preserve"> </w:t>
      </w:r>
      <w:r>
        <w:t xml:space="preserve">is approximately</w:t>
      </w:r>
      <w:r>
        <w:t xml:space="preserve"> </w:t>
      </w:r>
      <w:r>
        <w:rPr>
          <w:bCs/>
          <w:b/>
        </w:rPr>
        <w:t xml:space="preserve">12 to 14 weeks</w:t>
      </w:r>
      <w:r>
        <w:t xml:space="preserve"> </w:t>
      </w:r>
      <w:r>
        <w:t xml:space="preserve">from the date of contract signing. A detailed Gantt chart and milestone schedule will be provided as an annex to the final contract. Key milestones include the completion of the initial assessment (Week 2), delivery of the layout redesign (Week 6), quality systems go-live (Week 10), and final project closure with knowledge transfer (Week 14).</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After the expiration date, all rates and availability must be reconfirmed in writing.</w:t>
      </w:r>
    </w:p>
    <w:p>
      <w:pPr>
        <w:numPr>
          <w:ilvl w:val="0"/>
          <w:numId w:val="1002"/>
        </w:numPr>
        <w:pStyle w:val="Compact"/>
      </w:pPr>
      <w:r>
        <w:t xml:space="preserve">Payment terms: 30% advance payment upon contract execution, 40% upon completion of the mid-project milestone (Week 7), and 30% upon final delivery and client sign-off.</w:t>
      </w:r>
    </w:p>
    <w:p>
      <w:pPr>
        <w:numPr>
          <w:ilvl w:val="0"/>
          <w:numId w:val="1002"/>
        </w:numPr>
        <w:pStyle w:val="Compact"/>
      </w:pPr>
      <w:r>
        <w:t xml:space="preserve">All work performed by the</w:t>
      </w:r>
      <w:r>
        <w:t xml:space="preserve"> </w:t>
      </w:r>
      <w:r>
        <w:t xml:space="preserve">Industrial Engineer</w:t>
      </w:r>
      <w:r>
        <w:t xml:space="preserve"> </w:t>
      </w:r>
      <w:r>
        <w:t xml:space="preserve">team shall comply with the laws of the State of Israel, including but not limited to the Israeli Labor Law, the Standards Law, and local municipal regulations applicable in</w:t>
      </w:r>
      <w:r>
        <w:t xml:space="preserve"> </w:t>
      </w:r>
      <w:r>
        <w:t xml:space="preserve">Israel Jerusalem</w:t>
      </w:r>
      <w:r>
        <w:t xml:space="preserve">.</w:t>
      </w:r>
    </w:p>
    <w:p>
      <w:pPr>
        <w:numPr>
          <w:ilvl w:val="0"/>
          <w:numId w:val="1002"/>
        </w:numPr>
        <w:pStyle w:val="Compact"/>
      </w:pPr>
      <w:r>
        <w:t xml:space="preserve">The client agrees to provide full access to all relevant facilities, data, personnel, and documentation within the Israel Jerusalem site to enable the Industrial Engineer to perform the scope of work without impediment.</w:t>
      </w:r>
    </w:p>
    <w:p>
      <w:pPr>
        <w:numPr>
          <w:ilvl w:val="0"/>
          <w:numId w:val="1002"/>
        </w:numPr>
        <w:pStyle w:val="Compact"/>
      </w:pPr>
      <w:r>
        <w:t xml:space="preserve">Any changes to the scope of work beyond the parameters defined in this Quotation Estimate shall be subject to a formal change order, with revised pricing and timeline adjustments agreed upon in writing by both parties.</w:t>
      </w:r>
    </w:p>
    <w:p>
      <w:pPr>
        <w:numPr>
          <w:ilvl w:val="0"/>
          <w:numId w:val="1002"/>
        </w:numPr>
        <w:pStyle w:val="Compact"/>
      </w:pPr>
      <w:r>
        <w:t xml:space="preserve">Confidentiality: All proprietary information, trade secrets, and operational data shared during the engagement shall be treated as strictly confidential. A mutual Non-Disclosure Agreement (NDA) shall be executed prior to the commencement of work.</w:t>
      </w:r>
    </w:p>
    <w:p>
      <w:pPr>
        <w:numPr>
          <w:ilvl w:val="0"/>
          <w:numId w:val="1002"/>
        </w:numPr>
        <w:pStyle w:val="Compact"/>
      </w:pPr>
      <w:r>
        <w:t xml:space="preserve">Intellectual property: All reports, models, layouts, and methodologies developed specifically for the client under this Quotation Estimate shall become the property of the client upon full payment. General methodologies and pre-existing tools of OptiFlow Engineering Solutions Ltd. remain the property of the service provider.</w:t>
      </w:r>
    </w:p>
    <w:p>
      <w:pPr>
        <w:numPr>
          <w:ilvl w:val="0"/>
          <w:numId w:val="1002"/>
        </w:numPr>
        <w:pStyle w:val="Compact"/>
      </w:pPr>
      <w:r>
        <w:t xml:space="preserve">Force Majeure: Neither party shall be liable for delays caused by events beyond reasonable control, including but not limited to natural disasters, government-mandated closures, or security-related disruptions in the Israel Jerusalem region.</w:t>
      </w:r>
    </w:p>
    <w:p>
      <w:pPr>
        <w:numPr>
          <w:ilvl w:val="0"/>
          <w:numId w:val="1002"/>
        </w:numPr>
        <w:pStyle w:val="Compact"/>
      </w:pPr>
      <w:r>
        <w:t xml:space="preserve">Dispute resolution: Any disputes arising from this engagement shall be resolved through mediation in Jerusalem, Israel, in accordance with the laws of the State of Israel. If mediation fails, the matter shall be referred to the competent courts in Jerusalem.</w:t>
      </w:r>
    </w:p>
    <w:p>
      <w:pPr>
        <w:numPr>
          <w:ilvl w:val="0"/>
          <w:numId w:val="1002"/>
        </w:numPr>
        <w:pStyle w:val="Compact"/>
      </w:pPr>
      <w:r>
        <w:t xml:space="preserve">This Quotation Estimate does not constitute a binding contract until both parties have executed a formal service agreement incorporating the terms herein.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OptiFlow Engineering Solutions Ltd. to proceed with the</w:t>
      </w:r>
      <w:r>
        <w:t xml:space="preserve"> </w:t>
      </w:r>
      <w:r>
        <w:t xml:space="preserve">Industrial Engineer</w:t>
      </w:r>
      <w:r>
        <w:t xml:space="preserve"> </w:t>
      </w:r>
      <w:r>
        <w:t xml:space="preserve">services as described, to be executed at the designated location in</w:t>
      </w:r>
      <w:r>
        <w:t xml:space="preserve"> </w:t>
      </w:r>
      <w:r>
        <w:t xml:space="preserve">Israel Jerusalem</w:t>
      </w:r>
      <w:r>
        <w:t xml:space="preserve">.</w:t>
      </w:r>
    </w:p>
    <w:p>
      <w:pPr>
        <w:pStyle w:val="BodyText"/>
      </w:pPr>
      <w:r>
        <w:rPr>
          <w:bCs/>
          <w:b/>
        </w:rPr>
        <w:t xml:space="preserve">For OptiFlow Engineering Solutions Ltd.</w:t>
      </w:r>
    </w:p>
    <w:p>
      <w:pPr>
        <w:pStyle w:val="BodyText"/>
      </w:pPr>
      <w:r>
        <w:t xml:space="preserve">Name: David Ben-Ari</w:t>
      </w:r>
    </w:p>
    <w:p>
      <w:pPr>
        <w:pStyle w:val="BodyText"/>
      </w:pPr>
      <w:r>
        <w:t xml:space="preserve">Title: Senior Project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OptiFlow Engineering Solutions Ltd. | 12 Herzl Street, Jerusalem 91000, Israel | Tel: +972-2-555-0147 | VAT: 51-234-567-8</w:t>
      </w:r>
    </w:p>
    <w:p>
      <w:pPr>
        <w:pStyle w:val="BodyText"/>
      </w:pPr>
      <w:r>
        <w:t xml:space="preserve">This Quotation Estimate document is generated electronically and is valid without a physical stamp.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Israel Jerusalem</dc:title>
  <dc:creator/>
  <dc:language>en</dc:language>
  <cp:keywords/>
  <dcterms:created xsi:type="dcterms:W3CDTF">2026-10-10T04:12:25Z</dcterms:created>
  <dcterms:modified xsi:type="dcterms:W3CDTF">2026-10-10T04:12:25Z</dcterms:modified>
</cp:coreProperties>
</file>

<file path=docProps/custom.xml><?xml version="1.0" encoding="utf-8"?>
<Properties xmlns="http://schemas.openxmlformats.org/officeDocument/2006/custom-properties" xmlns:vt="http://schemas.openxmlformats.org/officeDocument/2006/docPropsVTypes"/>
</file>