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quotation-estimate"/>
    <w:p>
      <w:pPr>
        <w:pStyle w:val="Heading1"/>
      </w:pPr>
      <w:r>
        <w:t xml:space="preserve">QUOTATION ESTIMATE</w:t>
      </w:r>
    </w:p>
    <w:p>
      <w:pPr>
        <w:pStyle w:val="FirstParagraph"/>
      </w:pPr>
      <w:r>
        <w:t xml:space="preserve">Professional Industrial Engineer Services — Israel Tel Aviv</w:t>
      </w:r>
    </w:p>
    <w:p>
      <w:pPr>
        <w:pStyle w:val="BodyText"/>
      </w:pPr>
      <w:r>
        <w:t xml:space="preserve">Ref: QTE-2025-TLV-0472</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Date of Issue:</w:t>
            </w:r>
          </w:p>
        </w:tc>
        <w:tc>
          <w:tcPr/>
          <w:p>
            <w:pPr>
              <w:pStyle w:val="Compact"/>
              <w:jc w:val="left"/>
            </w:pPr>
            <w:r>
              <w:t xml:space="preserve">June 12, 2025</w:t>
            </w:r>
          </w:p>
        </w:tc>
        <w:tc>
          <w:tcPr/>
          <w:p>
            <w:pPr>
              <w:pStyle w:val="Compact"/>
              <w:jc w:val="left"/>
            </w:pPr>
            <w:r>
              <w:t xml:space="preserve">Valid Until:</w:t>
            </w:r>
          </w:p>
        </w:tc>
        <w:tc>
          <w:tcPr/>
          <w:p>
            <w:pPr>
              <w:pStyle w:val="Compact"/>
              <w:jc w:val="left"/>
            </w:pPr>
            <w:r>
              <w:t xml:space="preserve">July 12, 2025</w:t>
            </w:r>
          </w:p>
        </w:tc>
      </w:tr>
      <w:tr>
        <w:tc>
          <w:tcPr/>
          <w:p>
            <w:pPr>
              <w:pStyle w:val="Compact"/>
              <w:jc w:val="left"/>
            </w:pPr>
            <w:r>
              <w:t xml:space="preserve">Prepared By:</w:t>
            </w:r>
          </w:p>
        </w:tc>
        <w:tc>
          <w:tcPr/>
          <w:p>
            <w:pPr>
              <w:pStyle w:val="Compact"/>
              <w:jc w:val="left"/>
            </w:pPr>
            <w:r>
              <w:t xml:space="preserve">Merav Cohen, P.E. — Lead Industrial Engineer</w:t>
            </w:r>
          </w:p>
        </w:tc>
        <w:tc>
          <w:tcPr/>
          <w:p>
            <w:pPr>
              <w:pStyle w:val="Compact"/>
              <w:jc w:val="left"/>
            </w:pPr>
            <w:r>
              <w:t xml:space="preserve">Client:</w:t>
            </w:r>
          </w:p>
        </w:tc>
        <w:tc>
          <w:tcPr/>
          <w:p>
            <w:pPr>
              <w:pStyle w:val="Compact"/>
              <w:jc w:val="left"/>
            </w:pPr>
            <w:r>
              <w:t xml:space="preserve">Tel Aviv Manufacturing &amp; Logistics Group Ltd.</w:t>
            </w:r>
          </w:p>
        </w:tc>
      </w:tr>
      <w:tr>
        <w:tc>
          <w:tcPr/>
          <w:p>
            <w:pPr>
              <w:pStyle w:val="Compact"/>
              <w:jc w:val="left"/>
            </w:pPr>
            <w:r>
              <w:t xml:space="preserve">Client Address:</w:t>
            </w:r>
          </w:p>
        </w:tc>
        <w:tc>
          <w:tcPr/>
          <w:p>
            <w:pPr>
              <w:pStyle w:val="Compact"/>
              <w:jc w:val="left"/>
            </w:pPr>
            <w:r>
              <w:t xml:space="preserve">45 HaYarkon Street, Tel Aviv-Yafo, Israel 6777501</w:t>
            </w:r>
          </w:p>
        </w:tc>
        <w:tc>
          <w:tcPr/>
          <w:p>
            <w:pPr>
              <w:pStyle w:val="Compact"/>
              <w:jc w:val="left"/>
            </w:pPr>
            <w:r>
              <w:t xml:space="preserve">Contact:</w:t>
            </w:r>
          </w:p>
        </w:tc>
        <w:tc>
          <w:tcPr/>
          <w:p>
            <w:pPr>
              <w:pStyle w:val="Compact"/>
              <w:jc w:val="left"/>
            </w:pPr>
            <w:r>
              <w:t xml:space="preserve">Mr. David Levi — Operations Director</w:t>
            </w:r>
          </w:p>
        </w:tc>
      </w:tr>
      <w:tr>
        <w:tc>
          <w:tcPr/>
          <w:p>
            <w:pPr>
              <w:pStyle w:val="Compact"/>
              <w:jc w:val="left"/>
            </w:pPr>
            <w:r>
              <w:t xml:space="preserve">Project Location:</w:t>
            </w:r>
          </w:p>
        </w:tc>
        <w:tc>
          <w:tcPr/>
          <w:p>
            <w:pPr>
              <w:pStyle w:val="Compact"/>
              <w:jc w:val="left"/>
            </w:pPr>
            <w:r>
              <w:t xml:space="preserve">Industrial Zone B, Tel Aviv, Israel</w:t>
            </w:r>
          </w:p>
        </w:tc>
        <w:tc>
          <w:tcPr/>
          <w:p>
            <w:pPr>
              <w:pStyle w:val="Compact"/>
              <w:jc w:val="left"/>
            </w:pPr>
            <w:r>
              <w:t xml:space="preserve">Currency:</w:t>
            </w:r>
          </w:p>
        </w:tc>
        <w:tc>
          <w:tcPr/>
          <w:p>
            <w:pPr>
              <w:pStyle w:val="Compact"/>
              <w:jc w:val="left"/>
            </w:pPr>
            <w:r>
              <w:t xml:space="preserve">Israeli New Shekel (ILS / NIS)</w:t>
            </w:r>
          </w:p>
        </w:tc>
      </w:tr>
    </w:tbl>
    <w:bookmarkStart w:id="21" w:name="X33eb65d9513c3f11b01004ebd743091c2a19c56"/>
    <w:p>
      <w:pPr>
        <w:pStyle w:val="Heading2"/>
      </w:pPr>
      <w:r>
        <w:t xml:space="preserve">Scope of Work — Industrial Engineer Engagement in Israel Tel Aviv</w:t>
      </w:r>
    </w:p>
    <w:p>
      <w:pPr>
        <w:pStyle w:val="FirstParagraph"/>
      </w:pPr>
      <w:r>
        <w:t xml:space="preserve">This Quotation Estimate is issued by Merav Cohen, a certified Industrial Engineer registered with the Israeli Engineers Association, to provide comprehensive process optimization, production line redesign, and operational efficiency consulting services to the client's manufacturing and distribution facilities located in Israel Tel Aviv. The scope encompasses on-site assessments, data-driven workflow analysis, ergonomic evaluations, and the development of actionable improvement roadmaps tailored to the specific operational environment of the Tel Aviv industrial corridor.</w:t>
      </w:r>
    </w:p>
    <w:p>
      <w:pPr>
        <w:pStyle w:val="BodyText"/>
      </w:pPr>
      <w:r>
        <w:t xml:space="preserve">As an Industrial Engineer operating within the Israel Tel Aviv market, the undersigned brings specialized expertise in lean manufacturing, supply chain integration, quality control systems, and human-factors engineering. All recommendations and deliverables contained within this Quotation Estimate are designed to comply with Israeli labor regulations, the Standards of Israel (SII) industrial codes, and the operational standards expected by the Tel Aviv municipal industrial authority.</w:t>
      </w:r>
    </w:p>
    <w:bookmarkEnd w:id="21"/>
    <w:bookmarkStart w:id="22" w:name="itemized-services-pricing"/>
    <w:p>
      <w:pPr>
        <w:pStyle w:val="Heading2"/>
      </w:pPr>
      <w:r>
        <w:t xml:space="preserve">Itemized Services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(ILS)</w:t>
            </w:r>
          </w:p>
        </w:tc>
        <w:tc>
          <w:tcPr/>
          <w:p>
            <w:pPr>
              <w:pStyle w:val="Compact"/>
              <w:jc w:val="left"/>
            </w:pPr>
            <w:r>
              <w:t xml:space="preserve">Subtotal (ILS)</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Initial site assessment and process mapping of the Tel Aviv production floor, including value-stream mapping and bottleneck identification</w:t>
            </w:r>
          </w:p>
        </w:tc>
        <w:tc>
          <w:tcPr/>
          <w:p>
            <w:pPr>
              <w:pStyle w:val="Compact"/>
              <w:jc w:val="left"/>
            </w:pPr>
            <w:r>
              <w:t xml:space="preserve">3 days</w:t>
            </w:r>
          </w:p>
        </w:tc>
        <w:tc>
          <w:tcPr/>
          <w:p>
            <w:pPr>
              <w:pStyle w:val="Compact"/>
              <w:jc w:val="left"/>
            </w:pPr>
            <w:r>
              <w:t xml:space="preserve">4,500</w:t>
            </w:r>
          </w:p>
        </w:tc>
        <w:tc>
          <w:tcPr/>
          <w:p>
            <w:pPr>
              <w:pStyle w:val="Compact"/>
              <w:jc w:val="left"/>
            </w:pPr>
            <w:r>
              <w:t xml:space="preserve">13,500</w:t>
            </w:r>
          </w:p>
        </w:tc>
        <w:tc>
          <w:tcPr/>
          <w:p>
            <w:pPr>
              <w:pStyle w:val="Compact"/>
              <w:jc w:val="left"/>
            </w:pPr>
            <w:r>
              <w:t xml:space="preserve">On-site, Israel Tel Aviv</w:t>
            </w:r>
          </w:p>
        </w:tc>
      </w:tr>
      <w:tr>
        <w:tc>
          <w:tcPr/>
          <w:p>
            <w:pPr>
              <w:pStyle w:val="Compact"/>
              <w:jc w:val="left"/>
            </w:pPr>
            <w:r>
              <w:t xml:space="preserve">2</w:t>
            </w:r>
          </w:p>
        </w:tc>
        <w:tc>
          <w:tcPr/>
          <w:p>
            <w:pPr>
              <w:pStyle w:val="Compact"/>
              <w:jc w:val="left"/>
            </w:pPr>
            <w:r>
              <w:t xml:space="preserve">Industrial Engineer-led time-and-motion study of assembly lines; development of standard work procedures and cycle-time benchmarks</w:t>
            </w:r>
          </w:p>
        </w:tc>
        <w:tc>
          <w:tcPr/>
          <w:p>
            <w:pPr>
              <w:pStyle w:val="Compact"/>
              <w:jc w:val="left"/>
            </w:pPr>
            <w:r>
              <w:t xml:space="preserve">5 days</w:t>
            </w:r>
          </w:p>
        </w:tc>
        <w:tc>
          <w:tcPr/>
          <w:p>
            <w:pPr>
              <w:pStyle w:val="Compact"/>
              <w:jc w:val="left"/>
            </w:pPr>
            <w:r>
              <w:t xml:space="preserve">4,800</w:t>
            </w:r>
          </w:p>
        </w:tc>
        <w:tc>
          <w:tcPr/>
          <w:p>
            <w:pPr>
              <w:pStyle w:val="Compact"/>
              <w:jc w:val="left"/>
            </w:pPr>
            <w:r>
              <w:t xml:space="preserve">24,000</w:t>
            </w:r>
          </w:p>
        </w:tc>
        <w:tc>
          <w:tcPr/>
          <w:p>
            <w:pPr>
              <w:pStyle w:val="Compact"/>
              <w:jc w:val="left"/>
            </w:pPr>
            <w:r>
              <w:t xml:space="preserve">Includes statistical analysis</w:t>
            </w:r>
          </w:p>
        </w:tc>
      </w:tr>
      <w:tr>
        <w:tc>
          <w:tcPr/>
          <w:p>
            <w:pPr>
              <w:pStyle w:val="Compact"/>
              <w:jc w:val="left"/>
            </w:pPr>
            <w:r>
              <w:t xml:space="preserve">3</w:t>
            </w:r>
          </w:p>
        </w:tc>
        <w:tc>
          <w:tcPr/>
          <w:p>
            <w:pPr>
              <w:pStyle w:val="Compact"/>
              <w:jc w:val="left"/>
            </w:pPr>
            <w:r>
              <w:t xml:space="preserve">Ergonomic risk assessment and workstation redesign proposal in compliance with Israeli occupational health and safety regulations</w:t>
            </w:r>
          </w:p>
        </w:tc>
        <w:tc>
          <w:tcPr/>
          <w:p>
            <w:pPr>
              <w:pStyle w:val="Compact"/>
              <w:jc w:val="left"/>
            </w:pPr>
            <w:r>
              <w:t xml:space="preserve">4 days</w:t>
            </w:r>
          </w:p>
        </w:tc>
        <w:tc>
          <w:tcPr/>
          <w:p>
            <w:pPr>
              <w:pStyle w:val="Compact"/>
              <w:jc w:val="left"/>
            </w:pPr>
            <w:r>
              <w:t xml:space="preserve">4,200</w:t>
            </w:r>
          </w:p>
        </w:tc>
        <w:tc>
          <w:tcPr/>
          <w:p>
            <w:pPr>
              <w:pStyle w:val="Compact"/>
              <w:jc w:val="left"/>
            </w:pPr>
            <w:r>
              <w:t xml:space="preserve">16,800</w:t>
            </w:r>
          </w:p>
        </w:tc>
        <w:tc>
          <w:tcPr/>
          <w:p>
            <w:pPr>
              <w:pStyle w:val="Compact"/>
              <w:jc w:val="left"/>
            </w:pPr>
            <w:r>
              <w:t xml:space="preserve">Per SII 5300 standard</w:t>
            </w:r>
          </w:p>
        </w:tc>
      </w:tr>
      <w:tr>
        <w:tc>
          <w:tcPr/>
          <w:p>
            <w:pPr>
              <w:pStyle w:val="Compact"/>
              <w:jc w:val="left"/>
            </w:pPr>
            <w:r>
              <w:t xml:space="preserve">4</w:t>
            </w:r>
          </w:p>
        </w:tc>
        <w:tc>
          <w:tcPr/>
          <w:p>
            <w:pPr>
              <w:pStyle w:val="Compact"/>
              <w:jc w:val="left"/>
            </w:pPr>
            <w:r>
              <w:t xml:space="preserve">Supply chain and inventory optimization modeling for the Tel Aviv distribution hub; warehouse layout redesign</w:t>
            </w:r>
          </w:p>
        </w:tc>
        <w:tc>
          <w:tcPr/>
          <w:p>
            <w:pPr>
              <w:pStyle w:val="Compact"/>
              <w:jc w:val="left"/>
            </w:pPr>
            <w:r>
              <w:t xml:space="preserve">6 days</w:t>
            </w:r>
          </w:p>
        </w:tc>
        <w:tc>
          <w:tcPr/>
          <w:p>
            <w:pPr>
              <w:pStyle w:val="Compact"/>
              <w:jc w:val="left"/>
            </w:pPr>
            <w:r>
              <w:t xml:space="preserve">5,000</w:t>
            </w:r>
          </w:p>
        </w:tc>
        <w:tc>
          <w:tcPr/>
          <w:p>
            <w:pPr>
              <w:pStyle w:val="Compact"/>
              <w:jc w:val="left"/>
            </w:pPr>
            <w:r>
              <w:t xml:space="preserve">30,000</w:t>
            </w:r>
          </w:p>
        </w:tc>
        <w:tc>
          <w:tcPr/>
          <w:p>
            <w:pPr>
              <w:pStyle w:val="Compact"/>
              <w:jc w:val="left"/>
            </w:pPr>
            <w:r>
              <w:t xml:space="preserve">Simulation-based analysis</w:t>
            </w:r>
          </w:p>
        </w:tc>
      </w:tr>
      <w:tr>
        <w:tc>
          <w:tcPr/>
          <w:p>
            <w:pPr>
              <w:pStyle w:val="Compact"/>
              <w:jc w:val="left"/>
            </w:pPr>
            <w:r>
              <w:t xml:space="preserve">5</w:t>
            </w:r>
          </w:p>
        </w:tc>
        <w:tc>
          <w:tcPr/>
          <w:p>
            <w:pPr>
              <w:pStyle w:val="Compact"/>
              <w:jc w:val="left"/>
            </w:pPr>
            <w:r>
              <w:t xml:space="preserve">Quality control system implementation plan; Six Sigma / Lean integration roadmap for the Israel Tel Aviv facility</w:t>
            </w:r>
          </w:p>
        </w:tc>
        <w:tc>
          <w:tcPr/>
          <w:p>
            <w:pPr>
              <w:pStyle w:val="Compact"/>
              <w:jc w:val="left"/>
            </w:pPr>
            <w:r>
              <w:t xml:space="preserve">5 days</w:t>
            </w:r>
          </w:p>
        </w:tc>
        <w:tc>
          <w:tcPr/>
          <w:p>
            <w:pPr>
              <w:pStyle w:val="Compact"/>
              <w:jc w:val="left"/>
            </w:pPr>
            <w:r>
              <w:t xml:space="preserve">5,200</w:t>
            </w:r>
          </w:p>
        </w:tc>
        <w:tc>
          <w:tcPr/>
          <w:p>
            <w:pPr>
              <w:pStyle w:val="Compact"/>
              <w:jc w:val="left"/>
            </w:pPr>
            <w:r>
              <w:t xml:space="preserve">26,000</w:t>
            </w:r>
          </w:p>
        </w:tc>
        <w:tc>
          <w:tcPr/>
          <w:p>
            <w:pPr>
              <w:pStyle w:val="Compact"/>
              <w:jc w:val="left"/>
            </w:pPr>
            <w:r>
              <w:t xml:space="preserve">Includes training materials</w:t>
            </w:r>
          </w:p>
        </w:tc>
      </w:tr>
      <w:tr>
        <w:tc>
          <w:tcPr/>
          <w:p>
            <w:pPr>
              <w:pStyle w:val="Compact"/>
              <w:jc w:val="left"/>
            </w:pPr>
            <w:r>
              <w:t xml:space="preserve">6</w:t>
            </w:r>
          </w:p>
        </w:tc>
        <w:tc>
          <w:tcPr/>
          <w:p>
            <w:pPr>
              <w:pStyle w:val="Compact"/>
              <w:jc w:val="left"/>
            </w:pPr>
            <w:r>
              <w:t xml:space="preserve">Staff training workshops (2 sessions) on lean principles, 5S methodology, and continuous improvement culture</w:t>
            </w:r>
          </w:p>
        </w:tc>
        <w:tc>
          <w:tcPr/>
          <w:p>
            <w:pPr>
              <w:pStyle w:val="Compact"/>
              <w:jc w:val="left"/>
            </w:pPr>
            <w:r>
              <w:t xml:space="preserve">2 days</w:t>
            </w:r>
          </w:p>
        </w:tc>
        <w:tc>
          <w:tcPr/>
          <w:p>
            <w:pPr>
              <w:pStyle w:val="Compact"/>
              <w:jc w:val="left"/>
            </w:pPr>
            <w:r>
              <w:t xml:space="preserve">6,000</w:t>
            </w:r>
          </w:p>
        </w:tc>
        <w:tc>
          <w:tcPr/>
          <w:p>
            <w:pPr>
              <w:pStyle w:val="Compact"/>
              <w:jc w:val="left"/>
            </w:pPr>
            <w:r>
              <w:t xml:space="preserve">12,000</w:t>
            </w:r>
          </w:p>
        </w:tc>
        <w:tc>
          <w:tcPr/>
          <w:p>
            <w:pPr>
              <w:pStyle w:val="Compact"/>
              <w:jc w:val="left"/>
            </w:pPr>
            <w:r>
              <w:t xml:space="preserve">Up to 30 participants</w:t>
            </w:r>
          </w:p>
        </w:tc>
      </w:tr>
      <w:tr>
        <w:tc>
          <w:tcPr/>
          <w:p>
            <w:pPr>
              <w:pStyle w:val="Compact"/>
              <w:jc w:val="left"/>
            </w:pPr>
            <w:r>
              <w:t xml:space="preserve">7</w:t>
            </w:r>
          </w:p>
        </w:tc>
        <w:tc>
          <w:tcPr/>
          <w:p>
            <w:pPr>
              <w:pStyle w:val="Compact"/>
              <w:jc w:val="left"/>
            </w:pPr>
            <w:r>
              <w:t xml:space="preserve">Final comprehensive report, implementation timeline, and 30-day post-deployment follow-up consultation</w:t>
            </w:r>
          </w:p>
        </w:tc>
        <w:tc>
          <w:tcPr/>
          <w:p>
            <w:pPr>
              <w:pStyle w:val="Compact"/>
              <w:jc w:val="left"/>
            </w:pPr>
            <w:r>
              <w:t xml:space="preserve">3 days</w:t>
            </w:r>
          </w:p>
        </w:tc>
        <w:tc>
          <w:tcPr/>
          <w:p>
            <w:pPr>
              <w:pStyle w:val="Compact"/>
              <w:jc w:val="left"/>
            </w:pPr>
            <w:r>
              <w:t xml:space="preserve">4,000</w:t>
            </w:r>
          </w:p>
        </w:tc>
        <w:tc>
          <w:tcPr/>
          <w:p>
            <w:pPr>
              <w:pStyle w:val="Compact"/>
              <w:jc w:val="left"/>
            </w:pPr>
            <w:r>
              <w:t xml:space="preserve">12,000</w:t>
            </w:r>
          </w:p>
        </w:tc>
        <w:tc>
          <w:tcPr/>
          <w:p>
            <w:pPr>
              <w:pStyle w:val="Compact"/>
              <w:jc w:val="left"/>
            </w:pPr>
            <w:r>
              <w:t xml:space="preserve">Delivered in Hebrew &amp; English</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134,300 ILS</w:t>
            </w:r>
          </w:p>
        </w:tc>
      </w:tr>
      <w:tr>
        <w:tc>
          <w:tcPr/>
          <w:p>
            <w:pPr>
              <w:pStyle w:val="Compact"/>
              <w:jc w:val="left"/>
            </w:pPr>
            <w:r>
              <w:t xml:space="preserve">VAT (18% — Israel)</w:t>
            </w:r>
          </w:p>
        </w:tc>
        <w:tc>
          <w:tcPr/>
          <w:p>
            <w:pPr>
              <w:pStyle w:val="Compact"/>
              <w:jc w:val="right"/>
            </w:pPr>
            <w:r>
              <w:t xml:space="preserve">24,174 ILS</w:t>
            </w:r>
          </w:p>
        </w:tc>
      </w:tr>
      <w:tr>
        <w:tc>
          <w:tcPr/>
          <w:p>
            <w:pPr>
              <w:pStyle w:val="Compact"/>
              <w:jc w:val="left"/>
            </w:pPr>
            <w:r>
              <w:t xml:space="preserve">Travel &amp; Local Transportation (Tel Aviv Metro Area)</w:t>
            </w:r>
          </w:p>
        </w:tc>
        <w:tc>
          <w:tcPr/>
          <w:p>
            <w:pPr>
              <w:pStyle w:val="Compact"/>
              <w:jc w:val="right"/>
            </w:pPr>
            <w:r>
              <w:t xml:space="preserve">3,500 ILS</w:t>
            </w:r>
          </w:p>
        </w:tc>
      </w:tr>
      <w:tr>
        <w:tc>
          <w:tcPr/>
          <w:p>
            <w:pPr>
              <w:pStyle w:val="Compact"/>
              <w:jc w:val="left"/>
            </w:pPr>
            <w:r>
              <w:t xml:space="preserve">Grand Total</w:t>
            </w:r>
          </w:p>
        </w:tc>
        <w:tc>
          <w:tcPr/>
          <w:p>
            <w:pPr>
              <w:pStyle w:val="Compact"/>
              <w:jc w:val="right"/>
            </w:pPr>
            <w:r>
              <w:t xml:space="preserve">161,974 ILS</w:t>
            </w:r>
          </w:p>
        </w:tc>
      </w:tr>
    </w:tbl>
    <w:bookmarkEnd w:id="22"/>
    <w:bookmarkStart w:id="24" w:name="terms-conditions"/>
    <w:p>
      <w:pPr>
        <w:pStyle w:val="Heading2"/>
      </w:pPr>
      <w:r>
        <w:t xml:space="preserve">Terms &amp; Conditions</w:t>
      </w:r>
    </w:p>
    <w:bookmarkStart w:id="23" w:name="Xcbc6a95971ce9046c2f175d51ca46c5ae8632eb"/>
    <w:p>
      <w:pPr>
        <w:pStyle w:val="Heading3"/>
      </w:pPr>
      <w:r>
        <w:t xml:space="preserve">Quotation Estimate Terms — Industrial Engineer Services, Israel Tel Aviv</w:t>
      </w:r>
    </w:p>
    <w:p>
      <w:pPr>
        <w:numPr>
          <w:ilvl w:val="0"/>
          <w:numId w:val="1001"/>
        </w:numPr>
        <w:pStyle w:val="Compact"/>
      </w:pPr>
      <w:r>
        <w:t xml:space="preserve">This Quotation Estimate is valid for thirty (30) calendar days from the date of issue. After the expiration date, pricing for the Industrial Engineer services may be subject to revision based on market conditions in Israel Tel Aviv.</w:t>
      </w:r>
    </w:p>
    <w:p>
      <w:pPr>
        <w:numPr>
          <w:ilvl w:val="0"/>
          <w:numId w:val="1001"/>
        </w:numPr>
        <w:pStyle w:val="Compact"/>
      </w:pPr>
      <w:r>
        <w:t xml:space="preserve">Payment terms: 40% advance payment upon acceptance of this Quotation Estimate; 40% upon completion of on-site fieldwork in Tel Aviv; 20% upon delivery of the final report and completion of the follow-up consultation period.</w:t>
      </w:r>
    </w:p>
    <w:p>
      <w:pPr>
        <w:numPr>
          <w:ilvl w:val="0"/>
          <w:numId w:val="1001"/>
        </w:numPr>
        <w:pStyle w:val="Compact"/>
      </w:pPr>
      <w:r>
        <w:t xml:space="preserve">All work performed by the Industrial Engineer shall be conducted in accordance with the Israeli Labor Law, the Occupational Safety and Health Law, and applicable Tel Aviv municipal permits for industrial consulting activities.</w:t>
      </w:r>
    </w:p>
    <w:p>
      <w:pPr>
        <w:numPr>
          <w:ilvl w:val="0"/>
          <w:numId w:val="1001"/>
        </w:numPr>
        <w:pStyle w:val="Compact"/>
      </w:pPr>
      <w:r>
        <w:t xml:space="preserve">The client agrees to provide the Industrial Engineer with full access to all relevant production data, floor plans, and operational records at the Israel Tel Aviv facility during the engagement period.</w:t>
      </w:r>
    </w:p>
    <w:p>
      <w:pPr>
        <w:numPr>
          <w:ilvl w:val="0"/>
          <w:numId w:val="1001"/>
        </w:numPr>
        <w:pStyle w:val="Compact"/>
      </w:pPr>
      <w:r>
        <w:t xml:space="preserve">Intellectual property: All process maps, optimization models, and reports generated by the Industrial Engineer under this Quotation Estimate shall become the property of the client upon full payment.</w:t>
      </w:r>
    </w:p>
    <w:p>
      <w:pPr>
        <w:numPr>
          <w:ilvl w:val="0"/>
          <w:numId w:val="1001"/>
        </w:numPr>
        <w:pStyle w:val="Compact"/>
      </w:pPr>
      <w:r>
        <w:t xml:space="preserve">Force majeure: Neither party shall be liable for delays caused by events beyond reasonable control, including but not limited to national security alerts, public health emergencies, or government-mandated closures affecting operations in Israel Tel Aviv.</w:t>
      </w:r>
    </w:p>
    <w:p>
      <w:pPr>
        <w:numPr>
          <w:ilvl w:val="0"/>
          <w:numId w:val="1001"/>
        </w:numPr>
        <w:pStyle w:val="Compact"/>
      </w:pPr>
      <w:r>
        <w:t xml:space="preserve">Disputes arising from this Quotation Estimate shall be resolved under the jurisdiction of the Tel Aviv District Court, Israel, in accordance with Israeli civil law.</w:t>
      </w:r>
    </w:p>
    <w:p>
      <w:pPr>
        <w:numPr>
          <w:ilvl w:val="0"/>
          <w:numId w:val="1001"/>
        </w:numPr>
        <w:pStyle w:val="Compact"/>
      </w:pPr>
      <w:r>
        <w:t xml:space="preserve">This Quotation Estimate does not constitute a binding contract until formally accepted in writing by both parties. The Industrial Engineer reserves the right to decline the engagement if site conditions in Tel Aviv present safety hazards not disclosed by the client.</w:t>
      </w:r>
    </w:p>
    <w:bookmarkEnd w:id="23"/>
    <w:p>
      <w:pPr>
        <w:pStyle w:val="FirstParagraph"/>
      </w:pPr>
      <w:r>
        <w:rPr>
          <w:bCs/>
          <w:b/>
        </w:rPr>
        <w:t xml:space="preserve">Prepared &amp; Issued By:</w:t>
      </w:r>
    </w:p>
    <w:p>
      <w:pPr>
        <w:pStyle w:val="BodyText"/>
      </w:pPr>
      <w:r>
        <w:t xml:space="preserve">Merav Cohen, P.E.</w:t>
      </w:r>
      <w:r>
        <w:br/>
      </w:r>
      <w:r>
        <w:t xml:space="preserve">Industrial Engineer</w:t>
      </w:r>
      <w:r>
        <w:br/>
      </w:r>
      <w:r>
        <w:t xml:space="preserve">Israeli Engineers Association Reg. No. 48291</w:t>
      </w:r>
    </w:p>
    <w:p>
      <w:pPr>
        <w:pStyle w:val="BodyText"/>
      </w:pPr>
      <w:r>
        <w:t xml:space="preserve">Signature &amp; Date</w:t>
      </w:r>
    </w:p>
    <w:p>
      <w:pPr>
        <w:pStyle w:val="BodyText"/>
      </w:pPr>
      <w:r>
        <w:rPr>
          <w:bCs/>
          <w:b/>
        </w:rPr>
        <w:t xml:space="preserve">Accepted By (Client):</w:t>
      </w:r>
    </w:p>
    <w:p>
      <w:pPr>
        <w:pStyle w:val="BodyText"/>
      </w:pPr>
      <w:r>
        <w:t xml:space="preserve">David Levi</w:t>
      </w:r>
      <w:r>
        <w:br/>
      </w:r>
      <w:r>
        <w:t xml:space="preserve">Operations Director</w:t>
      </w:r>
      <w:r>
        <w:br/>
      </w:r>
      <w:r>
        <w:t xml:space="preserve">Tel Aviv Manufacturing &amp; Logistics Group Ltd.</w:t>
      </w:r>
    </w:p>
    <w:p>
      <w:pPr>
        <w:pStyle w:val="BodyText"/>
      </w:pPr>
      <w:r>
        <w:t xml:space="preserve">Signature &amp; Date</w:t>
      </w:r>
    </w:p>
    <w:p>
      <w:pPr>
        <w:pStyle w:val="BodyText"/>
      </w:pPr>
      <w:r>
        <w:t xml:space="preserve">Quotation Estimate QTE-2025-TLV-0472 — Industrial Engineer Services — Israel Tel Aviv</w:t>
      </w:r>
    </w:p>
    <w:p>
      <w:pPr>
        <w:pStyle w:val="BodyText"/>
      </w:pPr>
      <w:r>
        <w:t xml:space="preserve">This document is generated for commercial purposes and is subject to the terms stated herein. © 2025 Merav Cohen Industrial Engineering Consulting, Tel Aviv, Israel.</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Israel Tel Aviv</dc:title>
  <dc:creator/>
  <dc:language>en</dc:language>
  <cp:keywords/>
  <dcterms:created xsi:type="dcterms:W3CDTF">2026-10-10T03:39:34Z</dcterms:created>
  <dcterms:modified xsi:type="dcterms:W3CDTF">2026-10-10T03:39:34Z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