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Xacb27ef0662c36bd7d482bae6e46d4bbcba60ab"/>
    <w:p>
      <w:pPr>
        <w:pStyle w:val="Heading1"/>
      </w:pPr>
      <w:r>
        <w:t xml:space="preserve">PRECISION ENGINEERING CONSULTANCY CO., LTD.</w:t>
      </w:r>
    </w:p>
    <w:p>
      <w:pPr>
        <w:pStyle w:val="FirstParagraph"/>
      </w:pPr>
      <w:r>
        <w:t xml:space="preserve">2-14-8 Roppongi, Minato-ku, Tokyo 106-0032, Japan</w:t>
      </w:r>
    </w:p>
    <w:p>
      <w:pPr>
        <w:pStyle w:val="BodyText"/>
      </w:pPr>
      <w:r>
        <w:t xml:space="preserve">Tel: +81-3-5411-7820 | Email: quotations@precision-eng-tokyo.jp</w:t>
      </w:r>
    </w:p>
    <w:p>
      <w:pPr>
        <w:pStyle w:val="BodyText"/>
      </w:pPr>
      <w:r>
        <w:t xml:space="preserve">Corporation No. 601-2011004587 | Registered in Tokyo, Japan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QTE-2025-TKY-0487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Japan Tokyo</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Japan Tokyo</w:t>
      </w:r>
    </w:p>
    <w:p>
      <w:pPr>
        <w:pStyle w:val="BodyText"/>
      </w:pPr>
      <w:r>
        <w:rPr>
          <w:bCs/>
          <w:b/>
        </w:rPr>
        <w:t xml:space="preserve">Contact Person:</w:t>
      </w:r>
      <w:r>
        <w:t xml:space="preserve"> </w:t>
      </w:r>
      <w:r>
        <w:t xml:space="preserve">[Name &amp; Title]</w:t>
      </w:r>
    </w:p>
    <w:p>
      <w:pPr>
        <w:pStyle w:val="BodyText"/>
      </w:pPr>
      <w:r>
        <w:rPr>
          <w:bCs/>
          <w:b/>
        </w:rPr>
        <w:t xml:space="preserve">Reference No.:</w:t>
      </w:r>
      <w:r>
        <w:t xml:space="preserve"> </w:t>
      </w:r>
      <w:r>
        <w:t xml:space="preserve">[Client Ref. No.]</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prepared in response to the client's formal request for the engagement of a qualified</w:t>
      </w:r>
      <w:r>
        <w:t xml:space="preserve"> </w:t>
      </w:r>
      <w:r>
        <w:t xml:space="preserve">Industrial Engineer</w:t>
      </w:r>
      <w:r>
        <w:t xml:space="preserve"> </w:t>
      </w:r>
      <w:r>
        <w:t xml:space="preserve">to deliver comprehensive process optimization, production line redesign, and operational efficiency services at the client's manufacturing facility located in</w:t>
      </w:r>
      <w:r>
        <w:t xml:space="preserve"> </w:t>
      </w:r>
      <w:r>
        <w:t xml:space="preserve">Japan Tokyo</w:t>
      </w:r>
      <w:r>
        <w:t xml:space="preserve">. This document outlines the full scope of professional services, associated costs, project timeline, and contractual terms governing the engagement. The</w:t>
      </w:r>
      <w:r>
        <w:t xml:space="preserve"> </w:t>
      </w:r>
      <w:r>
        <w:t xml:space="preserve">Industrial Engineer</w:t>
      </w:r>
      <w:r>
        <w:t xml:space="preserve"> </w:t>
      </w:r>
      <w:r>
        <w:t xml:space="preserve">will be deployed on-site in</w:t>
      </w:r>
      <w:r>
        <w:t xml:space="preserve"> </w:t>
      </w:r>
      <w:r>
        <w:t xml:space="preserve">Japan Tokyo</w:t>
      </w:r>
      <w:r>
        <w:t xml:space="preserve"> </w:t>
      </w:r>
      <w:r>
        <w:t xml:space="preserve">for a period of twelve (12) consecutive months, commencing on 1 September 2025, with the primary objective of reducing production cycle times by a minimum of 18%, improving overall equipment effectiveness (OEE) by 12 percentage points, and implementing lean manufacturing methodologies across all three production floors of the facility.</w:t>
      </w:r>
    </w:p>
    <w:p>
      <w:pPr>
        <w:pStyle w:val="BodyText"/>
      </w:pPr>
      <w:r>
        <w:t xml:space="preserve">2. Scope of Services – Industrial Engineer Engagement</w:t>
      </w:r>
    </w:p>
    <w:p>
      <w:pPr>
        <w:pStyle w:val="BodyText"/>
      </w:pPr>
      <w:r>
        <w:t xml:space="preserve">The</w:t>
      </w:r>
      <w:r>
        <w:t xml:space="preserve"> </w:t>
      </w:r>
      <w:r>
        <w:t xml:space="preserve">Industrial Engineer</w:t>
      </w:r>
      <w:r>
        <w:t xml:space="preserve"> </w:t>
      </w:r>
      <w:r>
        <w:t xml:space="preserve">assigned to this project in</w:t>
      </w:r>
      <w:r>
        <w:t xml:space="preserve"> </w:t>
      </w:r>
      <w:r>
        <w:t xml:space="preserve">Japan Tokyo</w:t>
      </w:r>
      <w:r>
        <w:t xml:space="preserve"> </w:t>
      </w:r>
      <w:r>
        <w:t xml:space="preserve">will hold a minimum of ten (10) years of post-qualification experience in discrete manufacturing, automotive assembly, or electronics production environments. The engineer will be a certified member of the Japan Institute of Industrial Engineers (JIIIE) and will possess fluency in both Japanese and English to facilitate seamless communication with local workforces, management, and international stakeholders. The scope of work encompasses the following deliverables:</w:t>
      </w:r>
    </w:p>
    <w:p>
      <w:pPr>
        <w:numPr>
          <w:ilvl w:val="0"/>
          <w:numId w:val="1001"/>
        </w:numPr>
        <w:pStyle w:val="Compact"/>
      </w:pPr>
      <w:r>
        <w:t xml:space="preserve">Conduct a full value-stream mapping audit of all production lines within the</w:t>
      </w:r>
      <w:r>
        <w:t xml:space="preserve"> </w:t>
      </w:r>
      <w:r>
        <w:t xml:space="preserve">Japan Tokyo</w:t>
      </w:r>
      <w:r>
        <w:t xml:space="preserve"> </w:t>
      </w:r>
      <w:r>
        <w:t xml:space="preserve">facility within the first 30 days of engagement.</w:t>
      </w:r>
    </w:p>
    <w:p>
      <w:pPr>
        <w:numPr>
          <w:ilvl w:val="0"/>
          <w:numId w:val="1001"/>
        </w:numPr>
        <w:pStyle w:val="Compact"/>
      </w:pPr>
      <w:r>
        <w:t xml:space="preserve">Design and implement a revised workstation layout to minimize material handling distances and eliminate non-value-added activities.</w:t>
      </w:r>
    </w:p>
    <w:p>
      <w:pPr>
        <w:numPr>
          <w:ilvl w:val="0"/>
          <w:numId w:val="1001"/>
        </w:numPr>
        <w:pStyle w:val="Compact"/>
      </w:pPr>
      <w:r>
        <w:t xml:space="preserve">Develop and deploy a standardized work instruction system compliant with JIS (Japanese Industrial Standards) and ISO 9001:2015 requirements.</w:t>
      </w:r>
    </w:p>
    <w:p>
      <w:pPr>
        <w:numPr>
          <w:ilvl w:val="0"/>
          <w:numId w:val="1001"/>
        </w:numPr>
        <w:pStyle w:val="Compact"/>
      </w:pPr>
      <w:r>
        <w:t xml:space="preserve">Perform time-and-motion studies, bottleneck analysis, and capacity planning for all assembly and machining operations.</w:t>
      </w:r>
    </w:p>
    <w:p>
      <w:pPr>
        <w:numPr>
          <w:ilvl w:val="0"/>
          <w:numId w:val="1001"/>
        </w:numPr>
        <w:pStyle w:val="Compact"/>
      </w:pPr>
      <w:r>
        <w:t xml:space="preserve">Establish a continuous improvement (Kaizen) program with monthly review cycles involving shop-floor supervisors and team leaders.</w:t>
      </w:r>
    </w:p>
    <w:p>
      <w:pPr>
        <w:numPr>
          <w:ilvl w:val="0"/>
          <w:numId w:val="1001"/>
        </w:numPr>
        <w:pStyle w:val="Compact"/>
      </w:pPr>
      <w:r>
        <w:t xml:space="preserve">Deliver a comprehensive final report with quantified savings projections, ROI analysis, and a 24-month sustainability roadmap.</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(JPY)</w:t>
            </w:r>
          </w:p>
        </w:tc>
        <w:tc>
          <w:tcPr/>
          <w:p>
            <w:pPr>
              <w:pStyle w:val="Compact"/>
              <w:jc w:val="left"/>
            </w:pPr>
            <w:r>
              <w:t xml:space="preserve">Total (JPY)</w:t>
            </w:r>
          </w:p>
        </w:tc>
        <w:tc>
          <w:tcPr/>
          <w:p>
            <w:pPr>
              <w:pStyle w:val="Compact"/>
              <w:jc w:val="left"/>
            </w:pPr>
            <w:r>
              <w:t xml:space="preserve">Currency</w:t>
            </w:r>
          </w:p>
        </w:tc>
      </w:tr>
      <w:tr>
        <w:tc>
          <w:tcPr/>
          <w:p>
            <w:pPr>
              <w:pStyle w:val="Compact"/>
              <w:jc w:val="left"/>
            </w:pPr>
            <w:r>
              <w:t xml:space="preserve">1</w:t>
            </w:r>
          </w:p>
        </w:tc>
        <w:tc>
          <w:tcPr/>
          <w:p>
            <w:pPr>
              <w:pStyle w:val="Compact"/>
              <w:jc w:val="left"/>
            </w:pPr>
            <w:r>
              <w:t xml:space="preserve">Senior Industrial Engineer – On-site Consultancy (Japan Tokyo)</w:t>
            </w:r>
          </w:p>
        </w:tc>
        <w:tc>
          <w:tcPr/>
          <w:p>
            <w:pPr>
              <w:pStyle w:val="Compact"/>
              <w:jc w:val="left"/>
            </w:pPr>
            <w:r>
              <w:t xml:space="preserve">12 months</w:t>
            </w:r>
          </w:p>
        </w:tc>
        <w:tc>
          <w:tcPr/>
          <w:p>
            <w:pPr>
              <w:pStyle w:val="Compact"/>
              <w:jc w:val="left"/>
            </w:pPr>
            <w:r>
              <w:t xml:space="preserve">480,000 / month</w:t>
            </w:r>
          </w:p>
        </w:tc>
        <w:tc>
          <w:tcPr/>
          <w:p>
            <w:pPr>
              <w:pStyle w:val="Compact"/>
              <w:jc w:val="left"/>
            </w:pPr>
            <w:r>
              <w:t xml:space="preserve">5,760,000</w:t>
            </w:r>
          </w:p>
        </w:tc>
        <w:tc>
          <w:tcPr/>
          <w:p>
            <w:pPr>
              <w:pStyle w:val="Compact"/>
              <w:jc w:val="left"/>
            </w:pPr>
            <w:r>
              <w:t xml:space="preserve">JPY</w:t>
            </w:r>
          </w:p>
        </w:tc>
      </w:tr>
      <w:tr>
        <w:tc>
          <w:tcPr/>
          <w:p>
            <w:pPr>
              <w:pStyle w:val="Compact"/>
              <w:jc w:val="left"/>
            </w:pPr>
            <w:r>
              <w:t xml:space="preserve">2</w:t>
            </w:r>
          </w:p>
        </w:tc>
        <w:tc>
          <w:tcPr/>
          <w:p>
            <w:pPr>
              <w:pStyle w:val="Compact"/>
              <w:jc w:val="left"/>
            </w:pPr>
            <w:r>
              <w:t xml:space="preserve">Value-Stream Mapping &amp; Process Audit (Initial Phase)</w:t>
            </w:r>
          </w:p>
        </w:tc>
        <w:tc>
          <w:tcPr/>
          <w:p>
            <w:pPr>
              <w:pStyle w:val="Compact"/>
              <w:jc w:val="left"/>
            </w:pPr>
            <w:r>
              <w:t xml:space="preserve">30 days</w:t>
            </w:r>
          </w:p>
        </w:tc>
        <w:tc>
          <w:tcPr/>
          <w:p>
            <w:pPr>
              <w:pStyle w:val="Compact"/>
              <w:jc w:val="left"/>
            </w:pPr>
            <w:r>
              <w:t xml:space="preserve">1,200,000 (lump sum)</w:t>
            </w:r>
          </w:p>
        </w:tc>
        <w:tc>
          <w:tcPr/>
          <w:p>
            <w:pPr>
              <w:pStyle w:val="Compact"/>
              <w:jc w:val="left"/>
            </w:pPr>
            <w:r>
              <w:t xml:space="preserve">1,200,000</w:t>
            </w:r>
          </w:p>
        </w:tc>
        <w:tc>
          <w:tcPr/>
          <w:p>
            <w:pPr>
              <w:pStyle w:val="Compact"/>
              <w:jc w:val="left"/>
            </w:pPr>
            <w:r>
              <w:t xml:space="preserve">JPY</w:t>
            </w:r>
          </w:p>
        </w:tc>
      </w:tr>
      <w:tr>
        <w:tc>
          <w:tcPr/>
          <w:p>
            <w:pPr>
              <w:pStyle w:val="Compact"/>
              <w:jc w:val="left"/>
            </w:pPr>
            <w:r>
              <w:t xml:space="preserve">3</w:t>
            </w:r>
          </w:p>
        </w:tc>
        <w:tc>
          <w:tcPr/>
          <w:p>
            <w:pPr>
              <w:pStyle w:val="Compact"/>
              <w:jc w:val="left"/>
            </w:pPr>
            <w:r>
              <w:t xml:space="preserve">Workstation Redesign &amp; Layout Engineering</w:t>
            </w:r>
          </w:p>
        </w:tc>
        <w:tc>
          <w:tcPr/>
          <w:p>
            <w:pPr>
              <w:pStyle w:val="Compact"/>
              <w:jc w:val="left"/>
            </w:pPr>
            <w:r>
              <w:t xml:space="preserve">3 months</w:t>
            </w:r>
          </w:p>
        </w:tc>
        <w:tc>
          <w:tcPr/>
          <w:p>
            <w:pPr>
              <w:pStyle w:val="Compact"/>
              <w:jc w:val="left"/>
            </w:pPr>
            <w:r>
              <w:t xml:space="preserve">850,000 / month</w:t>
            </w:r>
          </w:p>
        </w:tc>
        <w:tc>
          <w:tcPr/>
          <w:p>
            <w:pPr>
              <w:pStyle w:val="Compact"/>
              <w:jc w:val="left"/>
            </w:pPr>
            <w:r>
              <w:t xml:space="preserve">2,550,000</w:t>
            </w:r>
          </w:p>
        </w:tc>
        <w:tc>
          <w:tcPr/>
          <w:p>
            <w:pPr>
              <w:pStyle w:val="Compact"/>
              <w:jc w:val="left"/>
            </w:pPr>
            <w:r>
              <w:t xml:space="preserve">JPY</w:t>
            </w:r>
          </w:p>
        </w:tc>
      </w:tr>
      <w:tr>
        <w:tc>
          <w:tcPr/>
          <w:p>
            <w:pPr>
              <w:pStyle w:val="Compact"/>
              <w:jc w:val="left"/>
            </w:pPr>
            <w:r>
              <w:t xml:space="preserve">4</w:t>
            </w:r>
          </w:p>
        </w:tc>
        <w:tc>
          <w:tcPr/>
          <w:p>
            <w:pPr>
              <w:pStyle w:val="Compact"/>
              <w:jc w:val="left"/>
            </w:pPr>
            <w:r>
              <w:t xml:space="preserve">Standardized Work System Development (JIS/ISO Compliant)</w:t>
            </w:r>
          </w:p>
        </w:tc>
        <w:tc>
          <w:tcPr/>
          <w:p>
            <w:pPr>
              <w:pStyle w:val="Compact"/>
              <w:jc w:val="left"/>
            </w:pPr>
            <w:r>
              <w:t xml:space="preserve">2 months</w:t>
            </w:r>
          </w:p>
        </w:tc>
        <w:tc>
          <w:tcPr/>
          <w:p>
            <w:pPr>
              <w:pStyle w:val="Compact"/>
              <w:jc w:val="left"/>
            </w:pPr>
            <w:r>
              <w:t xml:space="preserve">700,000 / month</w:t>
            </w:r>
          </w:p>
        </w:tc>
        <w:tc>
          <w:tcPr/>
          <w:p>
            <w:pPr>
              <w:pStyle w:val="Compact"/>
              <w:jc w:val="left"/>
            </w:pPr>
            <w:r>
              <w:t xml:space="preserve">1,400,000</w:t>
            </w:r>
          </w:p>
        </w:tc>
        <w:tc>
          <w:tcPr/>
          <w:p>
            <w:pPr>
              <w:pStyle w:val="Compact"/>
              <w:jc w:val="left"/>
            </w:pPr>
            <w:r>
              <w:t xml:space="preserve">JPY</w:t>
            </w:r>
          </w:p>
        </w:tc>
      </w:tr>
      <w:tr>
        <w:tc>
          <w:tcPr/>
          <w:p>
            <w:pPr>
              <w:pStyle w:val="Compact"/>
              <w:jc w:val="left"/>
            </w:pPr>
            <w:r>
              <w:t xml:space="preserve">5</w:t>
            </w:r>
          </w:p>
        </w:tc>
        <w:tc>
          <w:tcPr/>
          <w:p>
            <w:pPr>
              <w:pStyle w:val="Compact"/>
              <w:jc w:val="left"/>
            </w:pPr>
            <w:r>
              <w:t xml:space="preserve">Time &amp; Motion Studies, Bottleneck Analysis, Capacity Planning</w:t>
            </w:r>
          </w:p>
        </w:tc>
        <w:tc>
          <w:tcPr/>
          <w:p>
            <w:pPr>
              <w:pStyle w:val="Compact"/>
              <w:jc w:val="left"/>
            </w:pPr>
            <w:r>
              <w:t xml:space="preserve">4 months</w:t>
            </w:r>
          </w:p>
        </w:tc>
        <w:tc>
          <w:tcPr/>
          <w:p>
            <w:pPr>
              <w:pStyle w:val="Compact"/>
              <w:jc w:val="left"/>
            </w:pPr>
            <w:r>
              <w:t xml:space="preserve">600,000 / month</w:t>
            </w:r>
          </w:p>
        </w:tc>
        <w:tc>
          <w:tcPr/>
          <w:p>
            <w:pPr>
              <w:pStyle w:val="Compact"/>
              <w:jc w:val="left"/>
            </w:pPr>
            <w:r>
              <w:t xml:space="preserve">2,400,000</w:t>
            </w:r>
          </w:p>
        </w:tc>
        <w:tc>
          <w:tcPr/>
          <w:p>
            <w:pPr>
              <w:pStyle w:val="Compact"/>
              <w:jc w:val="left"/>
            </w:pPr>
            <w:r>
              <w:t xml:space="preserve">JPY</w:t>
            </w:r>
          </w:p>
        </w:tc>
      </w:tr>
      <w:tr>
        <w:tc>
          <w:tcPr/>
          <w:p>
            <w:pPr>
              <w:pStyle w:val="Compact"/>
              <w:jc w:val="left"/>
            </w:pPr>
            <w:r>
              <w:t xml:space="preserve">6</w:t>
            </w:r>
          </w:p>
        </w:tc>
        <w:tc>
          <w:tcPr/>
          <w:p>
            <w:pPr>
              <w:pStyle w:val="Compact"/>
              <w:jc w:val="left"/>
            </w:pPr>
            <w:r>
              <w:t xml:space="preserve">Kaizen Program Implementation &amp; Monthly Reviews</w:t>
            </w:r>
          </w:p>
        </w:tc>
        <w:tc>
          <w:tcPr/>
          <w:p>
            <w:pPr>
              <w:pStyle w:val="Compact"/>
              <w:jc w:val="left"/>
            </w:pPr>
            <w:r>
              <w:t xml:space="preserve">12 months</w:t>
            </w:r>
          </w:p>
        </w:tc>
        <w:tc>
          <w:tcPr/>
          <w:p>
            <w:pPr>
              <w:pStyle w:val="Compact"/>
              <w:jc w:val="left"/>
            </w:pPr>
            <w:r>
              <w:t xml:space="preserve">350,000 / month</w:t>
            </w:r>
          </w:p>
        </w:tc>
        <w:tc>
          <w:tcPr/>
          <w:p>
            <w:pPr>
              <w:pStyle w:val="Compact"/>
              <w:jc w:val="left"/>
            </w:pPr>
            <w:r>
              <w:t xml:space="preserve">4,200,000</w:t>
            </w:r>
          </w:p>
        </w:tc>
        <w:tc>
          <w:tcPr/>
          <w:p>
            <w:pPr>
              <w:pStyle w:val="Compact"/>
              <w:jc w:val="left"/>
            </w:pPr>
            <w:r>
              <w:t xml:space="preserve">JPY</w:t>
            </w:r>
          </w:p>
        </w:tc>
      </w:tr>
      <w:tr>
        <w:tc>
          <w:tcPr/>
          <w:p>
            <w:pPr>
              <w:pStyle w:val="Compact"/>
              <w:jc w:val="left"/>
            </w:pPr>
            <w:r>
              <w:t xml:space="preserve">7</w:t>
            </w:r>
          </w:p>
        </w:tc>
        <w:tc>
          <w:tcPr/>
          <w:p>
            <w:pPr>
              <w:pStyle w:val="Compact"/>
              <w:jc w:val="left"/>
            </w:pPr>
            <w:r>
              <w:t xml:space="preserve">Final Report, ROI Analysis &amp; 24-Month Sustainability Roadmap</w:t>
            </w:r>
          </w:p>
        </w:tc>
        <w:tc>
          <w:tcPr/>
          <w:p>
            <w:pPr>
              <w:pStyle w:val="Compact"/>
              <w:jc w:val="left"/>
            </w:pPr>
            <w:r>
              <w:t xml:space="preserve">1 month</w:t>
            </w:r>
          </w:p>
        </w:tc>
        <w:tc>
          <w:tcPr/>
          <w:p>
            <w:pPr>
              <w:pStyle w:val="Compact"/>
              <w:jc w:val="left"/>
            </w:pPr>
            <w:r>
              <w:t xml:space="preserve">900,000 (lump sum)</w:t>
            </w:r>
          </w:p>
        </w:tc>
        <w:tc>
          <w:tcPr/>
          <w:p>
            <w:pPr>
              <w:pStyle w:val="Compact"/>
              <w:jc w:val="left"/>
            </w:pPr>
            <w:r>
              <w:t xml:space="preserve">900,000</w:t>
            </w:r>
          </w:p>
        </w:tc>
        <w:tc>
          <w:tcPr/>
          <w:p>
            <w:pPr>
              <w:pStyle w:val="Compact"/>
              <w:jc w:val="left"/>
            </w:pPr>
            <w:r>
              <w:t xml:space="preserve">JPY</w:t>
            </w:r>
          </w:p>
        </w:tc>
      </w:tr>
      <w:tr>
        <w:tc>
          <w:tcPr/>
          <w:p>
            <w:pPr>
              <w:pStyle w:val="Compact"/>
              <w:jc w:val="left"/>
            </w:pPr>
            <w:r>
              <w:t xml:space="preserve">8</w:t>
            </w:r>
          </w:p>
        </w:tc>
        <w:tc>
          <w:tcPr/>
          <w:p>
            <w:pPr>
              <w:pStyle w:val="Compact"/>
              <w:jc w:val="left"/>
            </w:pPr>
            <w:r>
              <w:t xml:space="preserve">Travel, Accommodation &amp; Local Transportation (Japan Tokyo)</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c>
          <w:tcPr/>
          <w:p>
            <w:pPr>
              <w:pStyle w:val="Compact"/>
              <w:jc w:val="left"/>
            </w:pPr>
            <w:r>
              <w:t xml:space="preserve">JPY</w:t>
            </w:r>
          </w:p>
        </w:tc>
      </w:tr>
      <w:tr>
        <w:tc>
          <w:tcPr/>
          <w:p>
            <w:pPr>
              <w:pStyle w:val="Compact"/>
              <w:jc w:val="left"/>
            </w:pPr>
            <w:r>
              <w:t xml:space="preserve">9</w:t>
            </w:r>
          </w:p>
        </w:tc>
        <w:tc>
          <w:tcPr/>
          <w:p>
            <w:pPr>
              <w:pStyle w:val="Compact"/>
              <w:jc w:val="left"/>
            </w:pPr>
            <w:r>
              <w:t xml:space="preserve">Software Licenses (Simulation, CAD, Statistical Tools)</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c>
          <w:tcPr/>
          <w:p>
            <w:pPr>
              <w:pStyle w:val="Compact"/>
              <w:jc w:val="left"/>
            </w:pPr>
            <w:r>
              <w:t xml:space="preserve">JPY</w:t>
            </w:r>
          </w:p>
        </w:tc>
      </w:tr>
      <w:tr>
        <w:tc>
          <w:tcPr/>
          <w:p>
            <w:pPr>
              <w:pStyle w:val="Compact"/>
              <w:jc w:val="left"/>
            </w:pPr>
            <w:r>
              <w:t xml:space="preserve">10</w:t>
            </w:r>
          </w:p>
        </w:tc>
        <w:tc>
          <w:tcPr/>
          <w:p>
            <w:pPr>
              <w:pStyle w:val="Compact"/>
              <w:jc w:val="left"/>
            </w:pPr>
            <w:r>
              <w:t xml:space="preserve">Project Management &amp; Administrative Overhead (8%)</w:t>
            </w:r>
          </w:p>
        </w:tc>
        <w:tc>
          <w:tcPr/>
          <w:p>
            <w:pPr>
              <w:pStyle w:val="Compact"/>
              <w:jc w:val="left"/>
            </w:pPr>
            <w:r>
              <w:t xml:space="preserve">12 months</w:t>
            </w:r>
          </w:p>
        </w:tc>
        <w:tc>
          <w:tcPr/>
          <w:p>
            <w:pPr>
              <w:pStyle w:val="Compact"/>
              <w:jc w:val="left"/>
            </w:pPr>
            <w:r>
              <w:t xml:space="preserve">Calculated</w:t>
            </w:r>
          </w:p>
        </w:tc>
        <w:tc>
          <w:tcPr/>
          <w:p>
            <w:pPr>
              <w:pStyle w:val="Compact"/>
              <w:jc w:val="left"/>
            </w:pPr>
            <w:r>
              <w:t xml:space="preserve">1,344,000</w:t>
            </w:r>
          </w:p>
        </w:tc>
        <w:tc>
          <w:tcPr/>
          <w:p>
            <w:pPr>
              <w:pStyle w:val="Compact"/>
              <w:jc w:val="left"/>
            </w:pPr>
            <w:r>
              <w:t xml:space="preserve">JPY</w:t>
            </w:r>
          </w:p>
        </w:tc>
      </w:tr>
      <w:tr>
        <w:tc>
          <w:tcPr>
            <w:gridSpan w:val="4"/>
          </w:tcPr>
          <w:p>
            <w:pPr>
              <w:pStyle w:val="Compact"/>
              <w:jc w:val="left"/>
            </w:pPr>
            <w:r>
              <w:rPr>
                <w:bCs/>
                <w:b/>
              </w:rPr>
              <w:t xml:space="preserve">GRAND TOTAL (Before Tax)</w:t>
            </w:r>
          </w:p>
        </w:tc>
        <w:tc>
          <w:tcPr/>
          <w:p>
            <w:pPr>
              <w:pStyle w:val="Compact"/>
              <w:jc w:val="left"/>
            </w:pPr>
            <w:r>
              <w:rPr>
                <w:bCs/>
                <w:b/>
              </w:rPr>
              <w:t xml:space="preserve">22,214,000</w:t>
            </w:r>
          </w:p>
        </w:tc>
        <w:tc>
          <w:tcPr/>
          <w:p>
            <w:pPr>
              <w:pStyle w:val="Compact"/>
              <w:jc w:val="left"/>
            </w:pPr>
            <w:r>
              <w:rPr>
                <w:bCs/>
                <w:b/>
              </w:rPr>
              <w:t xml:space="preserve">JPY</w:t>
            </w:r>
          </w:p>
        </w:tc>
      </w:tr>
      <w:tr>
        <w:tc>
          <w:tcPr>
            <w:gridSpan w:val="4"/>
          </w:tcPr>
          <w:p>
            <w:pPr>
              <w:pStyle w:val="Compact"/>
              <w:jc w:val="left"/>
            </w:pPr>
            <w:r>
              <w:rPr>
                <w:bCs/>
                <w:b/>
              </w:rPr>
              <w:t xml:space="preserve">Consumption Tax (10%)</w:t>
            </w:r>
          </w:p>
        </w:tc>
        <w:tc>
          <w:tcPr/>
          <w:p>
            <w:pPr>
              <w:pStyle w:val="Compact"/>
              <w:jc w:val="left"/>
            </w:pPr>
            <w:r>
              <w:rPr>
                <w:bCs/>
                <w:b/>
              </w:rPr>
              <w:t xml:space="preserve">2,221,400</w:t>
            </w:r>
          </w:p>
        </w:tc>
        <w:tc>
          <w:tcPr/>
          <w:p>
            <w:pPr>
              <w:pStyle w:val="Compact"/>
              <w:jc w:val="left"/>
            </w:pPr>
            <w:r>
              <w:rPr>
                <w:bCs/>
                <w:b/>
              </w:rPr>
              <w:t xml:space="preserve">JPY</w:t>
            </w:r>
          </w:p>
        </w:tc>
      </w:tr>
      <w:tr>
        <w:tc>
          <w:tcPr>
            <w:gridSpan w:val="4"/>
          </w:tcPr>
          <w:p>
            <w:pPr>
              <w:pStyle w:val="Compact"/>
              <w:jc w:val="left"/>
            </w:pPr>
            <w:r>
              <w:rPr>
                <w:bCs/>
                <w:b/>
              </w:rPr>
              <w:t xml:space="preserve">TOTAL AMOUNT DUE</w:t>
            </w:r>
          </w:p>
        </w:tc>
        <w:tc>
          <w:tcPr/>
          <w:p>
            <w:pPr>
              <w:pStyle w:val="Compact"/>
              <w:jc w:val="left"/>
            </w:pPr>
            <w:r>
              <w:rPr>
                <w:bCs/>
                <w:b/>
              </w:rPr>
              <w:t xml:space="preserve">24,435,400</w:t>
            </w:r>
          </w:p>
        </w:tc>
        <w:tc>
          <w:tcPr/>
          <w:p>
            <w:pPr>
              <w:pStyle w:val="Compact"/>
              <w:jc w:val="left"/>
            </w:pPr>
            <w:r>
              <w:rPr>
                <w:bCs/>
                <w:b/>
              </w:rPr>
              <w:t xml:space="preserve">JPY</w:t>
            </w:r>
          </w:p>
        </w:tc>
      </w:tr>
    </w:tbl>
    <w:p>
      <w:pPr>
        <w:pStyle w:val="BodyText"/>
      </w:pPr>
      <w:r>
        <w:t xml:space="preserve">4. Payment Schedule</w:t>
      </w:r>
    </w:p>
    <w:p>
      <w:pPr>
        <w:pStyle w:val="BodyText"/>
      </w:pPr>
      <w:r>
        <w:t xml:space="preserve">Payment for this</w:t>
      </w:r>
      <w:r>
        <w:t xml:space="preserve"> </w:t>
      </w:r>
      <w:r>
        <w:t xml:space="preserve">Quotation Estimate</w:t>
      </w:r>
      <w:r>
        <w:t xml:space="preserve"> </w:t>
      </w:r>
      <w:r>
        <w:t xml:space="preserve">shall be made in four (4) equal quarterly installments, due within thirty (30) days of the invoice date. The first installment is due upon project commencement in</w:t>
      </w:r>
      <w:r>
        <w:t xml:space="preserve"> </w:t>
      </w:r>
      <w:r>
        <w:t xml:space="preserve">Japan Tokyo</w:t>
      </w:r>
      <w:r>
        <w:t xml:space="preserve">. All payments shall be made via bank transfer to the account designated by Precision Engineering Consultancy Co., Ltd. Late payments shall accrue interest at a rate of 1.5% per month, in accordance with Japanese commercial practice.</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Thereafter, pricing may be subject to revision based on market conditions in</w:t>
      </w:r>
      <w:r>
        <w:t xml:space="preserve"> </w:t>
      </w:r>
      <w:r>
        <w:t xml:space="preserve">Japan Tokyo</w:t>
      </w:r>
      <w:r>
        <w:t xml:space="preserve">.</w:t>
      </w:r>
    </w:p>
    <w:p>
      <w:pPr>
        <w:numPr>
          <w:ilvl w:val="0"/>
          <w:numId w:val="1002"/>
        </w:numPr>
        <w:pStyle w:val="Compact"/>
      </w:pPr>
      <w:r>
        <w:t xml:space="preserve">The</w:t>
      </w:r>
      <w:r>
        <w:t xml:space="preserve"> </w:t>
      </w:r>
      <w:r>
        <w:t xml:space="preserve">Industrial Engineer</w:t>
      </w:r>
      <w:r>
        <w:t xml:space="preserve"> </w:t>
      </w:r>
      <w:r>
        <w:t xml:space="preserve">shall comply with all applicable Japanese labor laws, workplace safety regulations (Labor Safety and Health Act), and the client's internal health and safety policies while operating in</w:t>
      </w:r>
      <w:r>
        <w:t xml:space="preserve"> </w:t>
      </w:r>
      <w:r>
        <w:t xml:space="preserve">Japan Tokyo</w:t>
      </w:r>
      <w:r>
        <w:t xml:space="preserve">.</w:t>
      </w:r>
    </w:p>
    <w:p>
      <w:pPr>
        <w:numPr>
          <w:ilvl w:val="0"/>
          <w:numId w:val="1002"/>
        </w:numPr>
        <w:pStyle w:val="Compact"/>
      </w:pPr>
      <w:r>
        <w:t xml:space="preserve">All intellectual property, process documentation, and reports generated during the engagement shall become the sole property of the client upon full payment.</w:t>
      </w:r>
    </w:p>
    <w:p>
      <w:pPr>
        <w:numPr>
          <w:ilvl w:val="0"/>
          <w:numId w:val="1002"/>
        </w:numPr>
        <w:pStyle w:val="Compact"/>
      </w:pPr>
      <w:r>
        <w:t xml:space="preserve">Confidentiality obligations as defined in the separate Non-Disclosure Agreement (NDA) shall remain in effect for a period of five (5) years following project completion.</w:t>
      </w:r>
    </w:p>
    <w:p>
      <w:pPr>
        <w:numPr>
          <w:ilvl w:val="0"/>
          <w:numId w:val="1002"/>
        </w:numPr>
        <w:pStyle w:val="Compact"/>
      </w:pPr>
      <w:r>
        <w:t xml:space="preserve">Either party may terminate this engagement with sixty (60) days' written notice. In such an event, the client shall be liable for all services rendered up to the termination date.</w:t>
      </w:r>
    </w:p>
    <w:p>
      <w:pPr>
        <w:numPr>
          <w:ilvl w:val="0"/>
          <w:numId w:val="1002"/>
        </w:numPr>
        <w:pStyle w:val="Compact"/>
      </w:pPr>
      <w:r>
        <w:t xml:space="preserve">Force majeure events, including but not limited to natural disasters common to the</w:t>
      </w:r>
      <w:r>
        <w:t xml:space="preserve"> </w:t>
      </w:r>
      <w:r>
        <w:t xml:space="preserve">Japan Tokyo</w:t>
      </w:r>
      <w:r>
        <w:t xml:space="preserve"> </w:t>
      </w:r>
      <w:r>
        <w:t xml:space="preserve">region (earthquakes, typhoons, volcanic activity), shall suspend project timelines without penalty to either party.</w:t>
      </w:r>
    </w:p>
    <w:p>
      <w:pPr>
        <w:numPr>
          <w:ilvl w:val="0"/>
          <w:numId w:val="1002"/>
        </w:numPr>
        <w:pStyle w:val="Compact"/>
      </w:pPr>
      <w:r>
        <w:t xml:space="preserve">This</w:t>
      </w:r>
      <w:r>
        <w:t xml:space="preserve"> </w:t>
      </w:r>
      <w:r>
        <w:t xml:space="preserve">Quotation Estimate</w:t>
      </w:r>
      <w:r>
        <w:t xml:space="preserve"> </w:t>
      </w:r>
      <w:r>
        <w:t xml:space="preserve">is governed by the laws of Japan. Any disputes shall be resolved through arbitration in Tokyo under the rules of the Japan Commercial Arbitration Association (JCAA).</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Precision Engineering Consultancy Co., Ltd. to proceed with the engagement of the</w:t>
      </w:r>
      <w:r>
        <w:t xml:space="preserve"> </w:t>
      </w:r>
      <w:r>
        <w:t xml:space="preserve">Industrial Engineer</w:t>
      </w:r>
      <w:r>
        <w:t xml:space="preserve"> </w:t>
      </w:r>
      <w:r>
        <w:t xml:space="preserve">for the project in</w:t>
      </w:r>
      <w:r>
        <w:t xml:space="preserve"> </w:t>
      </w:r>
      <w:r>
        <w:t xml:space="preserve">Japan Tokyo</w:t>
      </w:r>
      <w:r>
        <w:t xml:space="preserve"> </w:t>
      </w:r>
      <w:r>
        <w:t xml:space="preserve">as described herein.</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Company Seal (Hanko):</w:t>
      </w:r>
    </w:p>
    <w:p>
      <w:pPr>
        <w:pStyle w:val="BodyText"/>
      </w:pPr>
      <w:r>
        <w:rPr>
          <w:bCs/>
          <w:b/>
        </w:rPr>
        <w:t xml:space="preserve">For and on behalf of Precision Engineering Consultancy Co., Ltd.:</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Company Seal (Hanko):</w:t>
      </w:r>
    </w:p>
    <w:p>
      <w:pPr>
        <w:pStyle w:val="BodyText"/>
      </w:pPr>
      <w:r>
        <w:t xml:space="preserve">Quotation Estimate No. QTE-2025-TKY-0487 | Precision Engineering Consultancy Co., Ltd. | Japan Tokyo</w:t>
      </w:r>
    </w:p>
    <w:p>
      <w:pPr>
        <w:pStyle w:val="BodyText"/>
      </w:pPr>
      <w:r>
        <w:t xml:space="preserve">This document is confidential and intended solely for the named recipient. Unauthorized reproduction or distribution is prohibited.</w:t>
      </w:r>
    </w:p>
    <w:p>
      <w:pPr>
        <w:pStyle w:val="BodyText"/>
      </w:pPr>
      <w:r>
        <w:t xml:space="preserve">© 2025 Precision Engineering Consultancy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Japan Tokyo</dc:title>
  <dc:creator/>
  <dc:language>en</dc:language>
  <cp:keywords/>
  <dcterms:created xsi:type="dcterms:W3CDTF">2026-10-10T06:10:59Z</dcterms:created>
  <dcterms:modified xsi:type="dcterms:W3CDTF">2026-10-10T06:10:59Z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