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Industrial Engineer Services</w:t>
      </w:r>
    </w:p>
    <w:p>
      <w:pPr>
        <w:pStyle w:val="BodyText"/>
      </w:pPr>
      <w:r>
        <w:t xml:space="preserve">Almaty, Kazakhstan</w:t>
      </w:r>
    </w:p>
    <w:p>
      <w:pPr>
        <w:pStyle w:val="BodyText"/>
      </w:pPr>
      <w:r>
        <w:t xml:space="preserve">Document Reference: QE-ALM-2025-0472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Altai Engineering Solutions LLP</w:t>
      </w:r>
      <w:r>
        <w:br/>
      </w:r>
      <w:r>
        <w:rPr>
          <w:bCs/>
          <w:b/>
        </w:rPr>
        <w:t xml:space="preserve">Address:</w:t>
      </w:r>
      <w:r>
        <w:t xml:space="preserve"> </w:t>
      </w:r>
      <w:r>
        <w:t xml:space="preserve">42 Abai Avenue, Almaty, Kazakhstan</w:t>
      </w:r>
    </w:p>
    <w:p>
      <w:pPr>
        <w:pStyle w:val="BodyText"/>
      </w:pPr>
      <w:r>
        <w:rPr>
          <w:bCs/>
          <w:b/>
        </w:rPr>
        <w:t xml:space="preserve">Prepared For:</w:t>
      </w:r>
      <w:r>
        <w:t xml:space="preserve"> </w:t>
      </w:r>
      <w:r>
        <w:t xml:space="preserve">[Client Company Name]</w:t>
      </w:r>
      <w:r>
        <w:br/>
      </w:r>
      <w:r>
        <w:rPr>
          <w:bCs/>
          <w:b/>
        </w:rPr>
        <w:t xml:space="preserve">Location:</w:t>
      </w:r>
      <w:r>
        <w:t xml:space="preserve"> </w:t>
      </w:r>
      <w:r>
        <w:t xml:space="preserve">Kazakhstan Almaty</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Altai Engineering Solutions LLP to provide a comprehensive and transparent cost breakdown for the engagement of a qualified</w:t>
      </w:r>
      <w:r>
        <w:t xml:space="preserve"> </w:t>
      </w:r>
      <w:r>
        <w:t xml:space="preserve">Industrial Engineer</w:t>
      </w:r>
      <w:r>
        <w:t xml:space="preserve"> </w:t>
      </w:r>
      <w:r>
        <w:t xml:space="preserve">to deliver process optimization, production planning, and operational efficiency services at the client's manufacturing facility located in</w:t>
      </w:r>
      <w:r>
        <w:t xml:space="preserve"> </w:t>
      </w:r>
      <w:r>
        <w:t xml:space="preserve">Kazakhstan Almaty</w:t>
      </w:r>
      <w:r>
        <w:t xml:space="preserve">. This document serves as a formal proposal outlining the scope of work, deliverables, timeline, and associated costs for the Industrial Engineer engagement. All pricing in this Quotation Estimate is presented in Kazakhstani Tenge (KZT) unless otherwise specified, and reflects current market rates for specialized engineering consultancy in the Kazakhstan Almaty region.</w:t>
      </w:r>
    </w:p>
    <w:p>
      <w:pPr>
        <w:pStyle w:val="BodyText"/>
      </w:pPr>
      <w:r>
        <w:t xml:space="preserve">2. Scope of Work – Industrial Engineer Services</w:t>
      </w:r>
    </w:p>
    <w:p>
      <w:pPr>
        <w:pStyle w:val="BodyText"/>
      </w:pPr>
      <w:r>
        <w:t xml:space="preserve">The Industrial Engineer engaged under this Quotation Estimate will perform the following duties at the client's premises in Kazakhstan Almaty:</w:t>
      </w:r>
    </w:p>
    <w:p>
      <w:pPr>
        <w:numPr>
          <w:ilvl w:val="0"/>
          <w:numId w:val="1001"/>
        </w:numPr>
        <w:pStyle w:val="Compact"/>
      </w:pPr>
      <w:r>
        <w:t xml:space="preserve">Conduct a full-time industrial engineering assessment of existing production lines, workflows, and material handling systems.</w:t>
      </w:r>
    </w:p>
    <w:p>
      <w:pPr>
        <w:numPr>
          <w:ilvl w:val="0"/>
          <w:numId w:val="1001"/>
        </w:numPr>
        <w:pStyle w:val="Compact"/>
      </w:pPr>
      <w:r>
        <w:t xml:space="preserve">Develop and implement lean manufacturing methodologies to reduce waste and improve throughput by a minimum of 15%.</w:t>
      </w:r>
    </w:p>
    <w:p>
      <w:pPr>
        <w:numPr>
          <w:ilvl w:val="0"/>
          <w:numId w:val="1001"/>
        </w:numPr>
        <w:pStyle w:val="Compact"/>
      </w:pPr>
      <w:r>
        <w:t xml:space="preserve">Design and optimize the factory layout to minimize material travel distances and improve operational flow.</w:t>
      </w:r>
    </w:p>
    <w:p>
      <w:pPr>
        <w:numPr>
          <w:ilvl w:val="0"/>
          <w:numId w:val="1001"/>
        </w:numPr>
        <w:pStyle w:val="Compact"/>
      </w:pPr>
      <w:r>
        <w:t xml:space="preserve">Establish Standard Operating Procedures (SOPs) for all critical production processes.</w:t>
      </w:r>
    </w:p>
    <w:p>
      <w:pPr>
        <w:numPr>
          <w:ilvl w:val="0"/>
          <w:numId w:val="1001"/>
        </w:numPr>
        <w:pStyle w:val="Compact"/>
      </w:pPr>
      <w:r>
        <w:t xml:space="preserve">Perform time-and-motion studies to establish accurate labor standards and identify bottlenecks.</w:t>
      </w:r>
    </w:p>
    <w:p>
      <w:pPr>
        <w:numPr>
          <w:ilvl w:val="0"/>
          <w:numId w:val="1001"/>
        </w:numPr>
        <w:pStyle w:val="Compact"/>
      </w:pPr>
      <w:r>
        <w:t xml:space="preserve">Implement a Computerized Maintenance Management System (CMMS) integration plan.</w:t>
      </w:r>
    </w:p>
    <w:p>
      <w:pPr>
        <w:numPr>
          <w:ilvl w:val="0"/>
          <w:numId w:val="1001"/>
        </w:numPr>
        <w:pStyle w:val="Compact"/>
      </w:pPr>
      <w:r>
        <w:t xml:space="preserve">Provide training sessions for plant supervisors and line operators on continuous improvement principles.</w:t>
      </w:r>
    </w:p>
    <w:p>
      <w:pPr>
        <w:numPr>
          <w:ilvl w:val="0"/>
          <w:numId w:val="1001"/>
        </w:numPr>
        <w:pStyle w:val="Compact"/>
      </w:pPr>
      <w:r>
        <w:t xml:space="preserve">Deliver a comprehensive Industrial Engineer report with actionable recommendations and a 12-month implementation roadmap.</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(KZT)</w:t>
            </w:r>
          </w:p>
        </w:tc>
        <w:tc>
          <w:tcPr/>
          <w:p>
            <w:pPr>
              <w:pStyle w:val="Compact"/>
              <w:jc w:val="left"/>
            </w:pPr>
            <w:r>
              <w:t xml:space="preserve">Quantity</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Industrial Engineer – Senior Consultant (On-site, Kazakhstan Almaty)</w:t>
            </w:r>
          </w:p>
        </w:tc>
        <w:tc>
          <w:tcPr/>
          <w:p>
            <w:pPr>
              <w:pStyle w:val="Compact"/>
              <w:jc w:val="left"/>
            </w:pPr>
            <w:r>
              <w:t xml:space="preserve">8 weeks</w:t>
            </w:r>
          </w:p>
        </w:tc>
        <w:tc>
          <w:tcPr/>
          <w:p>
            <w:pPr>
              <w:pStyle w:val="Compact"/>
              <w:jc w:val="left"/>
            </w:pPr>
            <w:r>
              <w:t xml:space="preserve">450,000</w:t>
            </w:r>
          </w:p>
        </w:tc>
        <w:tc>
          <w:tcPr/>
          <w:p>
            <w:pPr>
              <w:pStyle w:val="Compact"/>
              <w:jc w:val="left"/>
            </w:pPr>
            <w:r>
              <w:t xml:space="preserve">40 days</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Industrial Engineer – Junior Analyst (Support &amp; Data Collection)</w:t>
            </w:r>
          </w:p>
        </w:tc>
        <w:tc>
          <w:tcPr/>
          <w:p>
            <w:pPr>
              <w:pStyle w:val="Compact"/>
              <w:jc w:val="left"/>
            </w:pPr>
            <w:r>
              <w:t xml:space="preserve">8 weeks</w:t>
            </w:r>
          </w:p>
        </w:tc>
        <w:tc>
          <w:tcPr/>
          <w:p>
            <w:pPr>
              <w:pStyle w:val="Compact"/>
              <w:jc w:val="left"/>
            </w:pPr>
            <w:r>
              <w:t xml:space="preserve">220,000</w:t>
            </w:r>
          </w:p>
        </w:tc>
        <w:tc>
          <w:tcPr/>
          <w:p>
            <w:pPr>
              <w:pStyle w:val="Compact"/>
              <w:jc w:val="left"/>
            </w:pPr>
            <w:r>
              <w:t xml:space="preserve">40 days</w:t>
            </w:r>
          </w:p>
        </w:tc>
        <w:tc>
          <w:tcPr/>
          <w:p>
            <w:pPr>
              <w:pStyle w:val="Compact"/>
              <w:jc w:val="left"/>
            </w:pPr>
            <w:r>
              <w:t xml:space="preserve">8,800,000</w:t>
            </w:r>
          </w:p>
        </w:tc>
      </w:tr>
      <w:tr>
        <w:tc>
          <w:tcPr/>
          <w:p>
            <w:pPr>
              <w:pStyle w:val="Compact"/>
              <w:jc w:val="left"/>
            </w:pPr>
            <w:r>
              <w:t xml:space="preserve">03</w:t>
            </w:r>
          </w:p>
        </w:tc>
        <w:tc>
          <w:tcPr/>
          <w:p>
            <w:pPr>
              <w:pStyle w:val="Compact"/>
              <w:jc w:val="left"/>
            </w:pPr>
            <w:r>
              <w:t xml:space="preserve">Process Simulation Software License (Arena / FlexSim)</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Travel and Accommodation (within Kazakhstan Almaty metro area)</w:t>
            </w:r>
          </w:p>
        </w:tc>
        <w:tc>
          <w:tcPr/>
          <w:p>
            <w:pPr>
              <w:pStyle w:val="Compact"/>
              <w:jc w:val="left"/>
            </w:pPr>
            <w:r>
              <w:t xml:space="preserve">8 weeks</w:t>
            </w:r>
          </w:p>
        </w:tc>
        <w:tc>
          <w:tcPr/>
          <w:p>
            <w:pPr>
              <w:pStyle w:val="Compact"/>
              <w:jc w:val="left"/>
            </w:pPr>
            <w:r>
              <w:t xml:space="preserve">85,000</w:t>
            </w:r>
          </w:p>
        </w:tc>
        <w:tc>
          <w:tcPr/>
          <w:p>
            <w:pPr>
              <w:pStyle w:val="Compact"/>
              <w:jc w:val="left"/>
            </w:pPr>
            <w:r>
              <w:t xml:space="preserve">40 days</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Training Program Development &amp; Delivery (4 sessions)</w:t>
            </w:r>
          </w:p>
        </w:tc>
        <w:tc>
          <w:tcPr/>
          <w:p>
            <w:pPr>
              <w:pStyle w:val="Compact"/>
              <w:jc w:val="left"/>
            </w:pPr>
            <w:r>
              <w:t xml:space="preserve">1 week</w:t>
            </w:r>
          </w:p>
        </w:tc>
        <w:tc>
          <w:tcPr/>
          <w:p>
            <w:pPr>
              <w:pStyle w:val="Compact"/>
              <w:jc w:val="left"/>
            </w:pPr>
            <w:r>
              <w:t xml:space="preserve">650,000</w:t>
            </w:r>
          </w:p>
        </w:tc>
        <w:tc>
          <w:tcPr/>
          <w:p>
            <w:pPr>
              <w:pStyle w:val="Compact"/>
              <w:jc w:val="left"/>
            </w:pPr>
            <w:r>
              <w:t xml:space="preserve">4</w:t>
            </w:r>
          </w:p>
        </w:tc>
        <w:tc>
          <w:tcPr/>
          <w:p>
            <w:pPr>
              <w:pStyle w:val="Compact"/>
              <w:jc w:val="left"/>
            </w:pPr>
            <w:r>
              <w:t xml:space="preserve">2,600,000</w:t>
            </w:r>
          </w:p>
        </w:tc>
      </w:tr>
      <w:tr>
        <w:tc>
          <w:tcPr/>
          <w:p>
            <w:pPr>
              <w:pStyle w:val="Compact"/>
              <w:jc w:val="left"/>
            </w:pPr>
            <w:r>
              <w:t xml:space="preserve">06</w:t>
            </w:r>
          </w:p>
        </w:tc>
        <w:tc>
          <w:tcPr/>
          <w:p>
            <w:pPr>
              <w:pStyle w:val="Compact"/>
              <w:jc w:val="left"/>
            </w:pPr>
            <w:r>
              <w:t xml:space="preserve">Final Industrial Engineer Report &amp; Implementation Roadmap</w:t>
            </w:r>
          </w:p>
        </w:tc>
        <w:tc>
          <w:tcPr/>
          <w:p>
            <w:pPr>
              <w:pStyle w:val="Compact"/>
              <w:jc w:val="left"/>
            </w:pPr>
            <w:r>
              <w:t xml:space="preserve">1 week</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Post-Implementation Follow-up Consultation (Remote)</w:t>
            </w:r>
          </w:p>
        </w:tc>
        <w:tc>
          <w:tcPr/>
          <w:p>
            <w:pPr>
              <w:pStyle w:val="Compact"/>
              <w:jc w:val="left"/>
            </w:pPr>
            <w:r>
              <w:t xml:space="preserve">3 months</w:t>
            </w:r>
          </w:p>
        </w:tc>
        <w:tc>
          <w:tcPr/>
          <w:p>
            <w:pPr>
              <w:pStyle w:val="Compact"/>
              <w:jc w:val="left"/>
            </w:pPr>
            <w:r>
              <w:t xml:space="preserve">300,000</w:t>
            </w:r>
          </w:p>
        </w:tc>
        <w:tc>
          <w:tcPr/>
          <w:p>
            <w:pPr>
              <w:pStyle w:val="Compact"/>
              <w:jc w:val="left"/>
            </w:pPr>
            <w:r>
              <w:t xml:space="preserve">3</w:t>
            </w:r>
          </w:p>
        </w:tc>
        <w:tc>
          <w:tcPr/>
          <w:p>
            <w:pPr>
              <w:pStyle w:val="Compact"/>
              <w:jc w:val="left"/>
            </w:pPr>
            <w:r>
              <w:t xml:space="preserve">900,000</w:t>
            </w:r>
          </w:p>
        </w:tc>
      </w:tr>
      <w:tr>
        <w:tc>
          <w:tcPr>
            <w:gridSpan w:val="5"/>
          </w:tcPr>
          <w:p>
            <w:pPr>
              <w:pStyle w:val="Compact"/>
              <w:jc w:val="left"/>
            </w:pPr>
            <w:r>
              <w:t xml:space="preserve">SUBTOTAL</w:t>
            </w:r>
          </w:p>
        </w:tc>
        <w:tc>
          <w:tcPr/>
          <w:p>
            <w:pPr>
              <w:pStyle w:val="Compact"/>
              <w:jc w:val="left"/>
            </w:pPr>
            <w:r>
              <w:t xml:space="preserve">36,400,000</w:t>
            </w:r>
          </w:p>
        </w:tc>
      </w:tr>
      <w:tr>
        <w:tc>
          <w:tcPr>
            <w:gridSpan w:val="5"/>
          </w:tcPr>
          <w:p>
            <w:pPr>
              <w:pStyle w:val="Compact"/>
              <w:jc w:val="left"/>
            </w:pPr>
            <w:r>
              <w:t xml:space="preserve">VAT (12% – Kazakhstan Standard Rate)</w:t>
            </w:r>
          </w:p>
        </w:tc>
        <w:tc>
          <w:tcPr/>
          <w:p>
            <w:pPr>
              <w:pStyle w:val="Compact"/>
              <w:jc w:val="left"/>
            </w:pPr>
            <w:r>
              <w:t xml:space="preserve">4,368,000</w:t>
            </w:r>
          </w:p>
        </w:tc>
      </w:tr>
      <w:tr>
        <w:tc>
          <w:tcPr>
            <w:gridSpan w:val="5"/>
          </w:tcPr>
          <w:p>
            <w:pPr>
              <w:pStyle w:val="Compact"/>
              <w:jc w:val="left"/>
            </w:pPr>
            <w:r>
              <w:t xml:space="preserve">GRAND TOTAL (KZT)</w:t>
            </w:r>
          </w:p>
        </w:tc>
        <w:tc>
          <w:tcPr/>
          <w:p>
            <w:pPr>
              <w:pStyle w:val="Compact"/>
              <w:jc w:val="left"/>
            </w:pPr>
            <w:r>
              <w:t xml:space="preserve">40,768,000</w:t>
            </w:r>
          </w:p>
        </w:tc>
      </w:tr>
    </w:tbl>
    <w:p>
      <w:pPr>
        <w:pStyle w:val="BodyText"/>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Weeks</w:t>
            </w:r>
          </w:p>
        </w:tc>
      </w:tr>
      <w:tr>
        <w:tc>
          <w:tcPr/>
          <w:p>
            <w:pPr>
              <w:pStyle w:val="Compact"/>
              <w:jc w:val="left"/>
            </w:pPr>
            <w:r>
              <w:t xml:space="preserve">Phase 1</w:t>
            </w:r>
          </w:p>
        </w:tc>
        <w:tc>
          <w:tcPr/>
          <w:p>
            <w:pPr>
              <w:pStyle w:val="Compact"/>
              <w:jc w:val="left"/>
            </w:pPr>
            <w:r>
              <w:t xml:space="preserve">Site Assessment &amp; Data Collection in Kazakhstan Almaty</w:t>
            </w:r>
          </w:p>
        </w:tc>
        <w:tc>
          <w:tcPr/>
          <w:p>
            <w:pPr>
              <w:pStyle w:val="Compact"/>
              <w:jc w:val="left"/>
            </w:pPr>
            <w:r>
              <w:t xml:space="preserve">1 – 2</w:t>
            </w:r>
          </w:p>
        </w:tc>
      </w:tr>
      <w:tr>
        <w:tc>
          <w:tcPr/>
          <w:p>
            <w:pPr>
              <w:pStyle w:val="Compact"/>
              <w:jc w:val="left"/>
            </w:pPr>
            <w:r>
              <w:t xml:space="preserve">Phase 2</w:t>
            </w:r>
          </w:p>
        </w:tc>
        <w:tc>
          <w:tcPr/>
          <w:p>
            <w:pPr>
              <w:pStyle w:val="Compact"/>
              <w:jc w:val="left"/>
            </w:pPr>
            <w:r>
              <w:t xml:space="preserve">Process Analysis &amp; Simulation Modeling</w:t>
            </w:r>
          </w:p>
        </w:tc>
        <w:tc>
          <w:tcPr/>
          <w:p>
            <w:pPr>
              <w:pStyle w:val="Compact"/>
              <w:jc w:val="left"/>
            </w:pPr>
            <w:r>
              <w:t xml:space="preserve">3 – 5</w:t>
            </w:r>
          </w:p>
        </w:tc>
      </w:tr>
      <w:tr>
        <w:tc>
          <w:tcPr/>
          <w:p>
            <w:pPr>
              <w:pStyle w:val="Compact"/>
              <w:jc w:val="left"/>
            </w:pPr>
            <w:r>
              <w:t xml:space="preserve">Phase 3</w:t>
            </w:r>
          </w:p>
        </w:tc>
        <w:tc>
          <w:tcPr/>
          <w:p>
            <w:pPr>
              <w:pStyle w:val="Compact"/>
              <w:jc w:val="left"/>
            </w:pPr>
            <w:r>
              <w:t xml:space="preserve">Optimization Design &amp; SOP Development</w:t>
            </w:r>
          </w:p>
        </w:tc>
        <w:tc>
          <w:tcPr/>
          <w:p>
            <w:pPr>
              <w:pStyle w:val="Compact"/>
              <w:jc w:val="left"/>
            </w:pPr>
            <w:r>
              <w:t xml:space="preserve">6 – 7</w:t>
            </w:r>
          </w:p>
        </w:tc>
      </w:tr>
      <w:tr>
        <w:tc>
          <w:tcPr/>
          <w:p>
            <w:pPr>
              <w:pStyle w:val="Compact"/>
              <w:jc w:val="left"/>
            </w:pPr>
            <w:r>
              <w:t xml:space="preserve">Phase 4</w:t>
            </w:r>
          </w:p>
        </w:tc>
        <w:tc>
          <w:tcPr/>
          <w:p>
            <w:pPr>
              <w:pStyle w:val="Compact"/>
              <w:jc w:val="left"/>
            </w:pPr>
            <w:r>
              <w:t xml:space="preserve">Training Delivery &amp; Pilot Implementation</w:t>
            </w:r>
          </w:p>
        </w:tc>
        <w:tc>
          <w:tcPr/>
          <w:p>
            <w:pPr>
              <w:pStyle w:val="Compact"/>
              <w:jc w:val="left"/>
            </w:pPr>
            <w:r>
              <w:t xml:space="preserve">8</w:t>
            </w:r>
          </w:p>
        </w:tc>
      </w:tr>
      <w:tr>
        <w:tc>
          <w:tcPr/>
          <w:p>
            <w:pPr>
              <w:pStyle w:val="Compact"/>
              <w:jc w:val="left"/>
            </w:pPr>
            <w:r>
              <w:t xml:space="preserve">Phase 5</w:t>
            </w:r>
          </w:p>
        </w:tc>
        <w:tc>
          <w:tcPr/>
          <w:p>
            <w:pPr>
              <w:pStyle w:val="Compact"/>
              <w:jc w:val="left"/>
            </w:pPr>
            <w:r>
              <w:t xml:space="preserve">Final Reporting &amp; Handover</w:t>
            </w:r>
          </w:p>
        </w:tc>
        <w:tc>
          <w:tcPr/>
          <w:p>
            <w:pPr>
              <w:pStyle w:val="Compact"/>
              <w:jc w:val="left"/>
            </w:pPr>
            <w:r>
              <w:t xml:space="preserve">9</w:t>
            </w:r>
          </w:p>
        </w:tc>
      </w:tr>
      <w:tr>
        <w:tc>
          <w:tcPr/>
          <w:p>
            <w:pPr>
              <w:pStyle w:val="Compact"/>
              <w:jc w:val="left"/>
            </w:pPr>
            <w:r>
              <w:t xml:space="preserve">Phase 6</w:t>
            </w:r>
          </w:p>
        </w:tc>
        <w:tc>
          <w:tcPr/>
          <w:p>
            <w:pPr>
              <w:pStyle w:val="Compact"/>
              <w:jc w:val="left"/>
            </w:pPr>
            <w:r>
              <w:t xml:space="preserve">Post-Implementation Support (Remote)</w:t>
            </w:r>
          </w:p>
        </w:tc>
        <w:tc>
          <w:tcPr/>
          <w:p>
            <w:pPr>
              <w:pStyle w:val="Compact"/>
              <w:jc w:val="left"/>
            </w:pPr>
            <w:r>
              <w:t xml:space="preserve">10 – 22</w:t>
            </w:r>
          </w:p>
        </w:tc>
      </w:tr>
    </w:tbl>
    <w:p>
      <w:pPr>
        <w:pStyle w:val="BodyText"/>
      </w:pPr>
      <w:r>
        <w:t xml:space="preserve">5. Terms and Conditions</w:t>
      </w:r>
    </w:p>
    <w:p>
      <w:pPr>
        <w:numPr>
          <w:ilvl w:val="0"/>
          <w:numId w:val="1002"/>
        </w:numPr>
        <w:pStyle w:val="Compact"/>
      </w:pPr>
      <w:r>
        <w:t xml:space="preserve">This Quotation Estimate is valid for thirty (30) calendar days from the date of issue. After the validity period, pricing may be subject to revision based on market conditions in Kazakhstan Almaty.</w:t>
      </w:r>
    </w:p>
    <w:p>
      <w:pPr>
        <w:numPr>
          <w:ilvl w:val="0"/>
          <w:numId w:val="1002"/>
        </w:numPr>
        <w:pStyle w:val="Compact"/>
      </w:pPr>
      <w:r>
        <w:t xml:space="preserve">Payment terms: 30% advance payment upon acceptance of this Quotation Estimate, 40% upon completion of Phase 3, and 30% upon final delivery of the Industrial Engineer report.</w:t>
      </w:r>
    </w:p>
    <w:p>
      <w:pPr>
        <w:numPr>
          <w:ilvl w:val="0"/>
          <w:numId w:val="1002"/>
        </w:numPr>
        <w:pStyle w:val="Compact"/>
      </w:pPr>
      <w:r>
        <w:t xml:space="preserve">All payments shall be made in Kazakhstani Tenge (KZT) via bank transfer to the account of Altai Engineering Solutions LLP, Almaty, Kazakhstan.</w:t>
      </w:r>
    </w:p>
    <w:p>
      <w:pPr>
        <w:numPr>
          <w:ilvl w:val="0"/>
          <w:numId w:val="1002"/>
        </w:numPr>
        <w:pStyle w:val="Compact"/>
      </w:pPr>
      <w:r>
        <w:t xml:space="preserve">The Industrial Engineer and support staff shall comply with all local labor regulations, safety standards, and site-specific protocols applicable in Kazakhstan Almaty.</w:t>
      </w:r>
    </w:p>
    <w:p>
      <w:pPr>
        <w:numPr>
          <w:ilvl w:val="0"/>
          <w:numId w:val="1002"/>
        </w:numPr>
        <w:pStyle w:val="Compact"/>
      </w:pPr>
      <w:r>
        <w:t xml:space="preserve">Any scope changes or additional services beyond those described in this Quotation Estimate will be subject to a supplementary written agreement and additional cost assessment.</w:t>
      </w:r>
    </w:p>
    <w:p>
      <w:pPr>
        <w:numPr>
          <w:ilvl w:val="0"/>
          <w:numId w:val="1002"/>
        </w:numPr>
        <w:pStyle w:val="Compact"/>
      </w:pPr>
      <w:r>
        <w:t xml:space="preserve">Confidentiality: All data, processes, and proprietary information encountered during the engagement in Kazakhstan Almaty shall be treated as strictly confidential and shall not be disclosed to third parties without written consent.</w:t>
      </w:r>
    </w:p>
    <w:p>
      <w:pPr>
        <w:numPr>
          <w:ilvl w:val="0"/>
          <w:numId w:val="1002"/>
        </w:numPr>
        <w:pStyle w:val="Compact"/>
      </w:pPr>
      <w:r>
        <w:t xml:space="preserve">This Quotation Estimate does not constitute a binding contract until formally accepted in writing by both parties.</w:t>
      </w:r>
    </w:p>
    <w:p>
      <w:pPr>
        <w:numPr>
          <w:ilvl w:val="0"/>
          <w:numId w:val="1002"/>
        </w:numPr>
        <w:pStyle w:val="Compact"/>
      </w:pPr>
      <w:r>
        <w:t xml:space="preserve">Force majeure events, including but not limited to natural disasters, government-mandated shutdowns, or public health emergencies affecting the Kazakhstan Almaty region, may result in timeline adjustments without penalty to either party.</w:t>
      </w:r>
    </w:p>
    <w:p>
      <w:pPr>
        <w:pStyle w:val="FirstParagraph"/>
      </w:pPr>
      <w:r>
        <w:t xml:space="preserve">6. Acceptance and Authorization</w:t>
      </w:r>
    </w:p>
    <w:bookmarkStart w:id="21" w:name="Xda727e131bbfedb82fedc9eb27596e1e77077e6"/>
    <w:p>
      <w:pPr>
        <w:pStyle w:val="Heading4"/>
      </w:pPr>
      <w:r>
        <w:t xml:space="preserve">Prepared By (Altai Engineering Solutions LLP)</w:t>
      </w:r>
    </w:p>
    <w:p>
      <w:pPr>
        <w:pStyle w:val="FirstParagraph"/>
      </w:pPr>
      <w:r>
        <w:t xml:space="preserve">Name: _________________________</w:t>
      </w:r>
    </w:p>
    <w:p>
      <w:pPr>
        <w:pStyle w:val="BodyText"/>
      </w:pPr>
      <w:r>
        <w:t xml:space="preserve">Title: Chief Industrial Engineer</w:t>
      </w:r>
    </w:p>
    <w:p>
      <w:pPr>
        <w:pStyle w:val="BodyText"/>
      </w:pPr>
      <w:r>
        <w:t xml:space="preserve">Date: _________________________</w:t>
      </w:r>
    </w:p>
    <w:p>
      <w:pPr>
        <w:pStyle w:val="BodyText"/>
      </w:pPr>
      <w:r>
        <w:t xml:space="preserve">Signature &amp; Company Stamp</w:t>
      </w:r>
    </w:p>
    <w:bookmarkEnd w:id="21"/>
    <w:bookmarkStart w:id="22" w:name="accepted-by-client-representative"/>
    <w:p>
      <w:pPr>
        <w:pStyle w:val="Heading4"/>
      </w:pPr>
      <w:r>
        <w:t xml:space="preserve">Accepted By (Client Representative)</w:t>
      </w:r>
    </w:p>
    <w:p>
      <w:pPr>
        <w:pStyle w:val="FirstParagraph"/>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&amp; Company Stamp</w:t>
      </w:r>
    </w:p>
    <w:bookmarkEnd w:id="22"/>
    <w:p>
      <w:pPr>
        <w:pStyle w:val="BodyText"/>
      </w:pPr>
      <w:r>
        <w:t xml:space="preserve">Altai Engineering Solutions LLP | 42 Abai Avenue, Almaty, Kazakhstan | Tel: +7 (727) 000-00-00 | Email: info@altaieks.kz</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QE-ALM-2025-0472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Kazakhstan Almaty</dc:title>
  <dc:creator/>
  <dc:language>en</dc:language>
  <cp:keywords/>
  <dcterms:created xsi:type="dcterms:W3CDTF">2026-10-10T03:39:36Z</dcterms:created>
  <dcterms:modified xsi:type="dcterms:W3CDTF">2026-10-10T03:39:36Z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