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Gulf Industrial Solutions &amp; Consulting LLC</w:t>
      </w:r>
    </w:p>
    <w:p>
      <w:pPr>
        <w:pStyle w:val="BodyText"/>
      </w:pPr>
      <w:r>
        <w:t xml:space="preserve">Office 412, Al Salem Tower, Al Shamiya District, Kuwait Kuwait City</w:t>
      </w:r>
    </w:p>
    <w:p>
      <w:pPr>
        <w:pStyle w:val="BodyText"/>
      </w:pPr>
      <w:r>
        <w:t xml:space="preserve">Tel: +965-2244-8890 | Email: quotations@gisconsulting-kw.com</w:t>
      </w:r>
    </w:p>
    <w:p>
      <w:pPr>
        <w:pStyle w:val="BodyText"/>
      </w:pPr>
      <w:r>
        <w:t xml:space="preserve">Commercial Registration No. 118452 | VAT No. 1084523670001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QTE-2025-KW-0472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Client / Recipient</w:t>
            </w:r>
          </w:p>
        </w:tc>
        <w:tc>
          <w:tcPr/>
          <w:p>
            <w:pPr>
              <w:pStyle w:val="Compact"/>
              <w:jc w:val="left"/>
            </w:pPr>
            <w:r>
              <w:t xml:space="preserve">Al Nahda Manufacturing &amp; Processing Co. W.L.L.</w:t>
            </w:r>
          </w:p>
        </w:tc>
        <w:tc>
          <w:tcPr/>
          <w:p>
            <w:pPr>
              <w:pStyle w:val="Compact"/>
              <w:jc w:val="left"/>
            </w:pPr>
            <w:r>
              <w:t xml:space="preserve">Project Location</w:t>
            </w:r>
          </w:p>
        </w:tc>
        <w:tc>
          <w:tcPr/>
          <w:p>
            <w:pPr>
              <w:pStyle w:val="Compact"/>
              <w:jc w:val="left"/>
            </w:pPr>
            <w:r>
              <w:t xml:space="preserve">Industrial Area 4, Kuwait Kuwait City</w:t>
            </w:r>
          </w:p>
        </w:tc>
      </w:tr>
      <w:tr>
        <w:tc>
          <w:tcPr/>
          <w:p>
            <w:pPr>
              <w:pStyle w:val="Compact"/>
              <w:jc w:val="left"/>
            </w:pPr>
            <w:r>
              <w:t xml:space="preserve">Prepared By</w:t>
            </w:r>
          </w:p>
        </w:tc>
        <w:tc>
          <w:tcPr/>
          <w:p>
            <w:pPr>
              <w:pStyle w:val="Compact"/>
              <w:jc w:val="left"/>
            </w:pPr>
            <w:r>
              <w:t xml:space="preserve">Eng. Khalid Al-Mutawa, Senior Industrial Engineer</w:t>
            </w:r>
          </w:p>
        </w:tc>
        <w:tc>
          <w:tcPr/>
          <w:p>
            <w:pPr>
              <w:pStyle w:val="Compact"/>
              <w:jc w:val="left"/>
            </w:pPr>
            <w:r>
              <w:t xml:space="preserve">Approved By</w:t>
            </w:r>
          </w:p>
        </w:tc>
        <w:tc>
          <w:tcPr/>
          <w:p>
            <w:pPr>
              <w:pStyle w:val="Compact"/>
              <w:jc w:val="left"/>
            </w:pPr>
            <w:r>
              <w:t xml:space="preserve">Dr. Sarah Al-Rashidi, Director of Operations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Gulf Industrial Solutions &amp; Consulting LLC to provide a comprehensive, itemized cost breakdown for the engagement of a qualified</w:t>
      </w:r>
      <w:r>
        <w:t xml:space="preserve"> </w:t>
      </w:r>
      <w:r>
        <w:t xml:space="preserve">Industrial Engineer</w:t>
      </w:r>
      <w:r>
        <w:t xml:space="preserve"> </w:t>
      </w:r>
      <w:r>
        <w:t xml:space="preserve">to deliver process optimization, production line balancing, and operational efficiency services at the client's manufacturing facility located in</w:t>
      </w:r>
      <w:r>
        <w:t xml:space="preserve"> </w:t>
      </w:r>
      <w:r>
        <w:t xml:space="preserve">Kuwait Kuwait City</w:t>
      </w:r>
      <w:r>
        <w:t xml:space="preserve">. This document serves as a formal commercial proposal and does not constitute a binding contract until both parties have executed the acceptance section at the end of this</w:t>
      </w:r>
      <w:r>
        <w:t xml:space="preserve"> </w:t>
      </w:r>
      <w:r>
        <w:t xml:space="preserve">Quotation Estimate</w:t>
      </w:r>
      <w:r>
        <w:t xml:space="preserve">.</w:t>
      </w:r>
    </w:p>
    <w:p>
      <w:pPr>
        <w:pStyle w:val="BodyText"/>
      </w:pPr>
      <w:r>
        <w:t xml:space="preserve">The scope of work outlined herein has been developed following an initial site assessment conducted on 28 May 2025 at the client's premises in the Fourth Industrial Area, Kuwait Kuwait City. The</w:t>
      </w:r>
      <w:r>
        <w:t xml:space="preserve"> </w:t>
      </w:r>
      <w:r>
        <w:t xml:space="preserve">Industrial Engineer</w:t>
      </w:r>
      <w:r>
        <w:t xml:space="preserve"> </w:t>
      </w:r>
      <w:r>
        <w:t xml:space="preserve">assigned to this project will operate under the direct supervision of the client's Plant Manager while maintaining full professional independence in delivering technical recommendations.</w:t>
      </w:r>
    </w:p>
    <w:bookmarkEnd w:id="21"/>
    <w:bookmarkStart w:id="22" w:name="detailed-services-and-itemized-pricing"/>
    <w:p>
      <w:pPr>
        <w:pStyle w:val="Heading2"/>
      </w:pPr>
      <w:r>
        <w:t xml:space="preserve">2. Detailed Services and Itemized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(KWD)</w:t>
            </w:r>
          </w:p>
        </w:tc>
        <w:tc>
          <w:tcPr/>
          <w:p>
            <w:pPr>
              <w:pStyle w:val="Compact"/>
              <w:jc w:val="left"/>
            </w:pPr>
            <w:r>
              <w:t xml:space="preserve">Amount (KWD)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Comprehensive time-and-motion study of all production lines (Lines A through F) to identify bottlenecks, idle time, and non-value-added activities.</w:t>
            </w:r>
          </w:p>
        </w:tc>
        <w:tc>
          <w:tcPr/>
          <w:p>
            <w:pPr>
              <w:pStyle w:val="Compact"/>
              <w:jc w:val="left"/>
            </w:pPr>
            <w:r>
              <w:t xml:space="preserve">10 Working Days</w:t>
            </w:r>
          </w:p>
        </w:tc>
        <w:tc>
          <w:tcPr/>
          <w:p>
            <w:pPr>
              <w:pStyle w:val="Compact"/>
              <w:jc w:val="left"/>
            </w:pPr>
            <w:r>
              <w:t xml:space="preserve">185.000 / day</w:t>
            </w:r>
          </w:p>
        </w:tc>
        <w:tc>
          <w:tcPr/>
          <w:p>
            <w:pPr>
              <w:pStyle w:val="Compact"/>
              <w:jc w:val="left"/>
            </w:pPr>
            <w:r>
              <w:t xml:space="preserve">1,850.000</w:t>
            </w:r>
          </w:p>
        </w:tc>
        <w:tc>
          <w:tcPr/>
          <w:p>
            <w:pPr>
              <w:pStyle w:val="Compact"/>
              <w:jc w:val="left"/>
            </w:pPr>
            <w:r>
              <w:t xml:space="preserve">Includes data collection, video documentation, and statistical analysis.</w:t>
            </w:r>
          </w:p>
        </w:tc>
      </w:tr>
      <w:tr>
        <w:tc>
          <w:tcPr/>
          <w:p>
            <w:pPr>
              <w:pStyle w:val="Compact"/>
              <w:jc w:val="left"/>
            </w:pPr>
            <w:r>
              <w:t xml:space="preserve">02</w:t>
            </w:r>
          </w:p>
        </w:tc>
        <w:tc>
          <w:tcPr/>
          <w:p>
            <w:pPr>
              <w:pStyle w:val="Compact"/>
              <w:jc w:val="left"/>
            </w:pPr>
            <w:r>
              <w:t xml:space="preserve">Production line balancing and workstation redesign to achieve a target efficiency of 92% or higher across all six lines.</w:t>
            </w:r>
          </w:p>
        </w:tc>
        <w:tc>
          <w:tcPr/>
          <w:p>
            <w:pPr>
              <w:pStyle w:val="Compact"/>
              <w:jc w:val="left"/>
            </w:pPr>
            <w:r>
              <w:t xml:space="preserve">15 Working Days</w:t>
            </w:r>
          </w:p>
        </w:tc>
        <w:tc>
          <w:tcPr/>
          <w:p>
            <w:pPr>
              <w:pStyle w:val="Compact"/>
              <w:jc w:val="left"/>
            </w:pPr>
            <w:r>
              <w:t xml:space="preserve">185.000 / day</w:t>
            </w:r>
          </w:p>
        </w:tc>
        <w:tc>
          <w:tcPr/>
          <w:p>
            <w:pPr>
              <w:pStyle w:val="Compact"/>
              <w:jc w:val="left"/>
            </w:pPr>
            <w:r>
              <w:t xml:space="preserve">2,775.000</w:t>
            </w:r>
          </w:p>
        </w:tc>
        <w:tc>
          <w:tcPr/>
          <w:p>
            <w:pPr>
              <w:pStyle w:val="Compact"/>
              <w:jc w:val="left"/>
            </w:pPr>
            <w:r>
              <w:t xml:space="preserve">Deliverable: Balanced line layout drawings and standard work instructions.</w:t>
            </w:r>
          </w:p>
        </w:tc>
      </w:tr>
      <w:tr>
        <w:tc>
          <w:tcPr/>
          <w:p>
            <w:pPr>
              <w:pStyle w:val="Compact"/>
              <w:jc w:val="left"/>
            </w:pPr>
            <w:r>
              <w:t xml:space="preserve">03</w:t>
            </w:r>
          </w:p>
        </w:tc>
        <w:tc>
          <w:tcPr/>
          <w:p>
            <w:pPr>
              <w:pStyle w:val="Compact"/>
              <w:jc w:val="left"/>
            </w:pPr>
            <w:r>
              <w:t xml:space="preserve">Development and implementation of a Standard Operating Procedure (SOP) framework for all critical manufacturing processes.</w:t>
            </w:r>
          </w:p>
        </w:tc>
        <w:tc>
          <w:tcPr/>
          <w:p>
            <w:pPr>
              <w:pStyle w:val="Compact"/>
              <w:jc w:val="left"/>
            </w:pPr>
            <w:r>
              <w:t xml:space="preserve">12 Working Days</w:t>
            </w:r>
          </w:p>
        </w:tc>
        <w:tc>
          <w:tcPr/>
          <w:p>
            <w:pPr>
              <w:pStyle w:val="Compact"/>
              <w:jc w:val="left"/>
            </w:pPr>
            <w:r>
              <w:t xml:space="preserve">185.000 / day</w:t>
            </w:r>
          </w:p>
        </w:tc>
        <w:tc>
          <w:tcPr/>
          <w:p>
            <w:pPr>
              <w:pStyle w:val="Compact"/>
              <w:jc w:val="left"/>
            </w:pPr>
            <w:r>
              <w:t xml:space="preserve">2,220.000</w:t>
            </w:r>
          </w:p>
        </w:tc>
        <w:tc>
          <w:tcPr/>
          <w:p>
            <w:pPr>
              <w:pStyle w:val="Compact"/>
              <w:jc w:val="left"/>
            </w:pPr>
            <w:r>
              <w:t xml:space="preserve">Minimum 24 SOP documents covering safety, quality, and throughput.</w:t>
            </w:r>
          </w:p>
        </w:tc>
      </w:tr>
      <w:tr>
        <w:tc>
          <w:tcPr/>
          <w:p>
            <w:pPr>
              <w:pStyle w:val="Compact"/>
              <w:jc w:val="left"/>
            </w:pPr>
            <w:r>
              <w:t xml:space="preserve">04</w:t>
            </w:r>
          </w:p>
        </w:tc>
        <w:tc>
          <w:tcPr/>
          <w:p>
            <w:pPr>
              <w:pStyle w:val="Compact"/>
              <w:jc w:val="left"/>
            </w:pPr>
            <w:r>
              <w:t xml:space="preserve">Lean Manufacturing assessment and Kaizen event facilitation (3-day intensive workshop with up to 20 plant operators and supervisors).</w:t>
            </w:r>
          </w:p>
        </w:tc>
        <w:tc>
          <w:tcPr/>
          <w:p>
            <w:pPr>
              <w:pStyle w:val="Compact"/>
              <w:jc w:val="left"/>
            </w:pPr>
            <w:r>
              <w:t xml:space="preserve">5 Working Days</w:t>
            </w:r>
          </w:p>
        </w:tc>
        <w:tc>
          <w:tcPr/>
          <w:p>
            <w:pPr>
              <w:pStyle w:val="Compact"/>
              <w:jc w:val="left"/>
            </w:pPr>
            <w:r>
              <w:t xml:space="preserve">220.000 / day</w:t>
            </w:r>
          </w:p>
        </w:tc>
        <w:tc>
          <w:tcPr/>
          <w:p>
            <w:pPr>
              <w:pStyle w:val="Compact"/>
              <w:jc w:val="left"/>
            </w:pPr>
            <w:r>
              <w:t xml:space="preserve">1,100.000</w:t>
            </w:r>
          </w:p>
        </w:tc>
        <w:tc>
          <w:tcPr/>
          <w:p>
            <w:pPr>
              <w:pStyle w:val="Compact"/>
              <w:jc w:val="left"/>
            </w:pPr>
            <w:r>
              <w:t xml:space="preserve">Includes pre-event preparation, facilitation, and post-event action plan.</w:t>
            </w:r>
          </w:p>
        </w:tc>
      </w:tr>
      <w:tr>
        <w:tc>
          <w:tcPr/>
          <w:p>
            <w:pPr>
              <w:pStyle w:val="Compact"/>
              <w:jc w:val="left"/>
            </w:pPr>
            <w:r>
              <w:t xml:space="preserve">05</w:t>
            </w:r>
          </w:p>
        </w:tc>
        <w:tc>
          <w:tcPr/>
          <w:p>
            <w:pPr>
              <w:pStyle w:val="Compact"/>
              <w:jc w:val="left"/>
            </w:pPr>
            <w:r>
              <w:t xml:space="preserve">Supply chain and inventory optimization modeling using simulation software (Arena / FlexSim) to reduce WIP by a minimum of 25%.</w:t>
            </w:r>
          </w:p>
        </w:tc>
        <w:tc>
          <w:tcPr/>
          <w:p>
            <w:pPr>
              <w:pStyle w:val="Compact"/>
              <w:jc w:val="left"/>
            </w:pPr>
            <w:r>
              <w:t xml:space="preserve">10 Working Days</w:t>
            </w:r>
          </w:p>
        </w:tc>
        <w:tc>
          <w:tcPr/>
          <w:p>
            <w:pPr>
              <w:pStyle w:val="Compact"/>
              <w:jc w:val="left"/>
            </w:pPr>
            <w:r>
              <w:t xml:space="preserve">185.000 / day</w:t>
            </w:r>
          </w:p>
        </w:tc>
        <w:tc>
          <w:tcPr/>
          <w:p>
            <w:pPr>
              <w:pStyle w:val="Compact"/>
              <w:jc w:val="left"/>
            </w:pPr>
            <w:r>
              <w:t xml:space="preserve">1,850.000</w:t>
            </w:r>
          </w:p>
        </w:tc>
        <w:tc>
          <w:tcPr/>
          <w:p>
            <w:pPr>
              <w:pStyle w:val="Compact"/>
              <w:jc w:val="left"/>
            </w:pPr>
            <w:r>
              <w:t xml:space="preserve">Deliverable: Simulation model file and optimization report.</w:t>
            </w:r>
          </w:p>
        </w:tc>
      </w:tr>
      <w:tr>
        <w:tc>
          <w:tcPr/>
          <w:p>
            <w:pPr>
              <w:pStyle w:val="Compact"/>
              <w:jc w:val="left"/>
            </w:pPr>
            <w:r>
              <w:t xml:space="preserve">06</w:t>
            </w:r>
          </w:p>
        </w:tc>
        <w:tc>
          <w:tcPr/>
          <w:p>
            <w:pPr>
              <w:pStyle w:val="Compact"/>
              <w:jc w:val="left"/>
            </w:pPr>
            <w:r>
              <w:t xml:space="preserve">Training and capacity-building sessions for 15 mid-level supervisors on industrial engineering fundamentals, data-driven decision making, and continuous improvement methodologies.</w:t>
            </w:r>
          </w:p>
        </w:tc>
        <w:tc>
          <w:tcPr/>
          <w:p>
            <w:pPr>
              <w:pStyle w:val="Compact"/>
              <w:jc w:val="left"/>
            </w:pPr>
            <w:r>
              <w:t xml:space="preserve">5 Working Days</w:t>
            </w:r>
          </w:p>
        </w:tc>
        <w:tc>
          <w:tcPr/>
          <w:p>
            <w:pPr>
              <w:pStyle w:val="Compact"/>
              <w:jc w:val="left"/>
            </w:pPr>
            <w:r>
              <w:t xml:space="preserve">200.000 / day</w:t>
            </w:r>
          </w:p>
        </w:tc>
        <w:tc>
          <w:tcPr/>
          <w:p>
            <w:pPr>
              <w:pStyle w:val="Compact"/>
              <w:jc w:val="left"/>
            </w:pPr>
            <w:r>
              <w:t xml:space="preserve">1,000.000</w:t>
            </w:r>
          </w:p>
        </w:tc>
        <w:tc>
          <w:tcPr/>
          <w:p>
            <w:pPr>
              <w:pStyle w:val="Compact"/>
              <w:jc w:val="left"/>
            </w:pPr>
            <w:r>
              <w:t xml:space="preserve">Conducted on-site in Kuwait Kuwait City. Training materials included.</w:t>
            </w:r>
          </w:p>
        </w:tc>
      </w:tr>
      <w:tr>
        <w:tc>
          <w:tcPr/>
          <w:p>
            <w:pPr>
              <w:pStyle w:val="Compact"/>
              <w:jc w:val="left"/>
            </w:pPr>
            <w:r>
              <w:t xml:space="preserve">07</w:t>
            </w:r>
          </w:p>
        </w:tc>
        <w:tc>
          <w:tcPr/>
          <w:p>
            <w:pPr>
              <w:pStyle w:val="Compact"/>
              <w:jc w:val="left"/>
            </w:pPr>
            <w:r>
              <w:t xml:space="preserve">Final comprehensive report, executive presentation to senior management, and 30-day post-implementation follow-up support (remote and on-site visits).</w:t>
            </w:r>
          </w:p>
        </w:tc>
        <w:tc>
          <w:tcPr/>
          <w:p>
            <w:pPr>
              <w:pStyle w:val="Compact"/>
              <w:jc w:val="left"/>
            </w:pPr>
            <w:r>
              <w:t xml:space="preserve">8 Working Days</w:t>
            </w:r>
          </w:p>
        </w:tc>
        <w:tc>
          <w:tcPr/>
          <w:p>
            <w:pPr>
              <w:pStyle w:val="Compact"/>
              <w:jc w:val="left"/>
            </w:pPr>
            <w:r>
              <w:t xml:space="preserve">185.000 / day</w:t>
            </w:r>
          </w:p>
        </w:tc>
        <w:tc>
          <w:tcPr/>
          <w:p>
            <w:pPr>
              <w:pStyle w:val="Compact"/>
              <w:jc w:val="left"/>
            </w:pPr>
            <w:r>
              <w:t xml:space="preserve">1,480.000</w:t>
            </w:r>
          </w:p>
        </w:tc>
        <w:tc>
          <w:tcPr/>
          <w:p>
            <w:pPr>
              <w:pStyle w:val="Compact"/>
              <w:jc w:val="left"/>
            </w:pPr>
            <w:r>
              <w:t xml:space="preserve">Includes two on-site follow-up visits in Kuwait Kuwait City.</w:t>
            </w:r>
          </w:p>
        </w:tc>
      </w:tr>
      <w:tr>
        <w:tc>
          <w:tcPr/>
          <w:p>
            <w:pPr>
              <w:pStyle w:val="Compact"/>
              <w:jc w:val="left"/>
            </w:pPr>
            <w:r>
              <w:t xml:space="preserve">08</w:t>
            </w:r>
          </w:p>
        </w:tc>
        <w:tc>
          <w:tcPr/>
          <w:p>
            <w:pPr>
              <w:pStyle w:val="Compact"/>
              <w:jc w:val="left"/>
            </w:pPr>
            <w:r>
              <w:t xml:space="preserve">Travel, local transportation, and accommodation allowance for the Industrial Engineer during the project duration in Kuwait Kuwait City.</w:t>
            </w:r>
          </w:p>
        </w:tc>
        <w:tc>
          <w:tcPr/>
          <w:p>
            <w:pPr>
              <w:pStyle w:val="Compact"/>
              <w:jc w:val="left"/>
            </w:pPr>
            <w:r>
              <w:t xml:space="preserve">75 Working Days</w:t>
            </w:r>
          </w:p>
        </w:tc>
        <w:tc>
          <w:tcPr/>
          <w:p>
            <w:pPr>
              <w:pStyle w:val="Compact"/>
              <w:jc w:val="left"/>
            </w:pPr>
            <w:r>
              <w:t xml:space="preserve">45.000 / day</w:t>
            </w:r>
          </w:p>
        </w:tc>
        <w:tc>
          <w:tcPr/>
          <w:p>
            <w:pPr>
              <w:pStyle w:val="Compact"/>
              <w:jc w:val="left"/>
            </w:pPr>
            <w:r>
              <w:t xml:space="preserve">3,375.000</w:t>
            </w:r>
          </w:p>
        </w:tc>
        <w:tc>
          <w:tcPr/>
          <w:p>
            <w:pPr>
              <w:pStyle w:val="Compact"/>
              <w:jc w:val="left"/>
            </w:pPr>
            <w:r>
              <w:t xml:space="preserve">Covers fuel, parking, and per-diem as per Kuwaiti government rates.</w:t>
            </w:r>
          </w:p>
        </w:tc>
      </w:tr>
      <w:tr>
        <w:tc>
          <w:tcPr>
            <w:gridSpan w:val="4"/>
          </w:tcPr>
          <w:p>
            <w:pPr>
              <w:pStyle w:val="Compact"/>
              <w:jc w:val="right"/>
            </w:pPr>
            <w:r>
              <w:t xml:space="preserve">Subtotal</w:t>
            </w:r>
          </w:p>
        </w:tc>
        <w:tc>
          <w:tcPr/>
          <w:p>
            <w:pPr>
              <w:pStyle w:val="Compact"/>
              <w:jc w:val="left"/>
            </w:pPr>
            <w:r>
              <w:t xml:space="preserve">15,650.000</w:t>
            </w:r>
          </w:p>
        </w:tc>
        <w:tc>
          <w:tcPr/>
          <w:p>
            <w:pPr>
              <w:pStyle w:val="Compact"/>
            </w:pPr>
          </w:p>
        </w:tc>
      </w:tr>
      <w:tr>
        <w:tc>
          <w:tcPr>
            <w:gridSpan w:val="4"/>
          </w:tcPr>
          <w:p>
            <w:pPr>
              <w:pStyle w:val="Compact"/>
              <w:jc w:val="right"/>
            </w:pPr>
            <w:r>
              <w:t xml:space="preserve">VAT (13%)</w:t>
            </w:r>
          </w:p>
        </w:tc>
        <w:tc>
          <w:tcPr/>
          <w:p>
            <w:pPr>
              <w:pStyle w:val="Compact"/>
              <w:jc w:val="left"/>
            </w:pPr>
            <w:r>
              <w:t xml:space="preserve">2,034.500</w:t>
            </w:r>
          </w:p>
        </w:tc>
        <w:tc>
          <w:tcPr/>
          <w:p>
            <w:pPr>
              <w:pStyle w:val="Compact"/>
            </w:pPr>
          </w:p>
        </w:tc>
      </w:tr>
      <w:tr>
        <w:tc>
          <w:tcPr>
            <w:gridSpan w:val="4"/>
          </w:tcPr>
          <w:p>
            <w:pPr>
              <w:pStyle w:val="Compact"/>
              <w:jc w:val="right"/>
            </w:pPr>
            <w:r>
              <w:t xml:space="preserve">TOTAL AMOUNT DUE (KWD)</w:t>
            </w:r>
          </w:p>
        </w:tc>
        <w:tc>
          <w:tcPr/>
          <w:p>
            <w:pPr>
              <w:pStyle w:val="Compact"/>
              <w:jc w:val="left"/>
            </w:pPr>
            <w:r>
              <w:t xml:space="preserve">17,684.500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period will require a revised</w:t>
      </w:r>
      <w:r>
        <w:t xml:space="preserve"> </w:t>
      </w:r>
      <w:r>
        <w:t xml:space="preserve">Quotation Estimate</w:t>
      </w:r>
      <w:r>
        <w:t xml:space="preserve"> </w:t>
      </w:r>
      <w:r>
        <w:t xml:space="preserve">reflecting current market rates and availability of the</w:t>
      </w:r>
      <w:r>
        <w:t xml:space="preserve"> </w:t>
      </w:r>
      <w:r>
        <w:t xml:space="preserve">Industrial Engineer</w:t>
      </w:r>
      <w:r>
        <w:t xml:space="preserve">.</w:t>
      </w:r>
    </w:p>
    <w:p>
      <w:pPr>
        <w:numPr>
          <w:ilvl w:val="0"/>
          <w:numId w:val="1001"/>
        </w:numPr>
        <w:pStyle w:val="Compact"/>
      </w:pPr>
      <w:r>
        <w:t xml:space="preserve">Payment terms: 40% advance payment upon signing of the service agreement, 35% upon completion of the mid-project milestone (end of Service Items 03 and 04), and 25% upon final delivery and acceptance of the comprehensive report.</w:t>
      </w:r>
    </w:p>
    <w:p>
      <w:pPr>
        <w:numPr>
          <w:ilvl w:val="0"/>
          <w:numId w:val="1001"/>
        </w:numPr>
        <w:pStyle w:val="Compact"/>
      </w:pPr>
      <w:r>
        <w:t xml:space="preserve">All payments shall be made in Kuwaiti Dinars (KWD) via bank transfer to the account of Gulf Industrial Solutions &amp; Consulting LLC, National Bank of Kuwait, Account No. 0045-8821-3367.</w:t>
      </w:r>
    </w:p>
    <w:p>
      <w:pPr>
        <w:numPr>
          <w:ilvl w:val="0"/>
          <w:numId w:val="1001"/>
        </w:numPr>
        <w:pStyle w:val="Compact"/>
      </w:pPr>
      <w:r>
        <w:t xml:space="preserve">The</w:t>
      </w:r>
      <w:r>
        <w:t xml:space="preserve"> </w:t>
      </w:r>
      <w:r>
        <w:t xml:space="preserve">Industrial Engineer</w:t>
      </w:r>
      <w:r>
        <w:t xml:space="preserve"> </w:t>
      </w:r>
      <w:r>
        <w:t xml:space="preserve">shall comply with all applicable Kuwaiti labor laws, occupational health and safety regulations, and site-specific safety protocols in Kuwait Kuwait City throughout the engagement.</w:t>
      </w:r>
    </w:p>
    <w:p>
      <w:pPr>
        <w:numPr>
          <w:ilvl w:val="0"/>
          <w:numId w:val="1001"/>
        </w:numPr>
        <w:pStyle w:val="Compact"/>
      </w:pPr>
      <w:r>
        <w:t xml:space="preserve">Any change in scope beyond the services described in this</w:t>
      </w:r>
      <w:r>
        <w:t xml:space="preserve"> </w:t>
      </w:r>
      <w:r>
        <w:t xml:space="preserve">Quotation Estimate</w:t>
      </w:r>
      <w:r>
        <w:t xml:space="preserve"> </w:t>
      </w:r>
      <w:r>
        <w:t xml:space="preserve">will be subject to a separate change-order agreement and additional cost assessment.</w:t>
      </w:r>
    </w:p>
    <w:p>
      <w:pPr>
        <w:numPr>
          <w:ilvl w:val="0"/>
          <w:numId w:val="1001"/>
        </w:numPr>
        <w:pStyle w:val="Compact"/>
      </w:pPr>
      <w:r>
        <w:t xml:space="preserve">Confidentiality: All data, process information, and proprietary materials accessed during the project in Kuwait Kuwait City shall remain the exclusive property of the client. The</w:t>
      </w:r>
      <w:r>
        <w:t xml:space="preserve"> </w:t>
      </w:r>
      <w:r>
        <w:t xml:space="preserve">Industrial Engineer</w:t>
      </w:r>
      <w:r>
        <w:t xml:space="preserve"> </w:t>
      </w:r>
      <w:r>
        <w:t xml:space="preserve">and our firm agree to a mutual non-disclosure agreement (NDA) to be executed prior to commencement.</w:t>
      </w:r>
    </w:p>
    <w:p>
      <w:pPr>
        <w:numPr>
          <w:ilvl w:val="0"/>
          <w:numId w:val="1001"/>
        </w:numPr>
        <w:pStyle w:val="Compact"/>
      </w:pPr>
      <w:r>
        <w:t xml:space="preserve">Warranty: Our firm guarantees the accuracy and professional quality of all deliverables for a period of ninety (90) days from the date of final acceptance. Any defects in the analysis or recommendations will be rectified at no additional cost.</w:t>
      </w:r>
    </w:p>
    <w:p>
      <w:pPr>
        <w:numPr>
          <w:ilvl w:val="0"/>
          <w:numId w:val="1001"/>
        </w:numPr>
        <w:pStyle w:val="Compact"/>
      </w:pPr>
      <w:r>
        <w:t xml:space="preserve">Force Majeure: Neither party shall be liable for delays or non-performance caused by events beyond reasonable control, including but not limited to government-mandated shutdowns, natural disasters, or civil unrest in Kuwait Kuwait City.</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laws of the State of Kuwait. Any disputes shall be resolved through the competent courts in Kuwait City.</w:t>
      </w:r>
    </w:p>
    <w:bookmarkEnd w:id="23"/>
    <w:bookmarkStart w:id="24" w:name="project-timeline-summary"/>
    <w:p>
      <w:pPr>
        <w:pStyle w:val="Heading2"/>
      </w:pPr>
      <w:r>
        <w:t xml:space="preserve">4. Project Timeline Summary</w:t>
      </w:r>
    </w:p>
    <w:p>
      <w:pPr>
        <w:pStyle w:val="FirstParagraph"/>
      </w:pPr>
      <w:r>
        <w:t xml:space="preserve">The total estimated project duration is approximately seventy-five (75) working days, commencing from the date of the signed service agreement. The</w:t>
      </w:r>
      <w:r>
        <w:t xml:space="preserve"> </w:t>
      </w:r>
      <w:r>
        <w:t xml:space="preserve">Industrial Engineer</w:t>
      </w:r>
      <w:r>
        <w:t xml:space="preserve"> </w:t>
      </w:r>
      <w:r>
        <w:t xml:space="preserve">will be fully dedicated to this project and will not be assigned to concurrent engagements during the active project period. A detailed Gantt chart and weekly progress reporting schedule will be provided within five (5) working days of project kickoff in Kuwait Kuwait City.</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conditions, and pricing outlined in this</w:t>
      </w:r>
      <w:r>
        <w:t xml:space="preserve"> </w:t>
      </w:r>
      <w:r>
        <w:t xml:space="preserve">Quotation Estimate</w:t>
      </w:r>
      <w:r>
        <w:t xml:space="preserve"> </w:t>
      </w:r>
      <w:r>
        <w:t xml:space="preserve">for the engagement of an</w:t>
      </w:r>
      <w:r>
        <w:t xml:space="preserve"> </w:t>
      </w:r>
      <w:r>
        <w:t xml:space="preserve">Industrial Engineer</w:t>
      </w:r>
      <w:r>
        <w:t xml:space="preserve"> </w:t>
      </w:r>
      <w:r>
        <w:t xml:space="preserve">to perform the specified services in</w:t>
      </w:r>
      <w:r>
        <w:t xml:space="preserve"> </w:t>
      </w:r>
      <w:r>
        <w:t xml:space="preserve">Kuwait Kuwait City</w:t>
      </w:r>
      <w:r>
        <w:t xml:space="preserve">. This signature converts this</w:t>
      </w:r>
      <w:r>
        <w:t xml:space="preserve"> </w:t>
      </w:r>
      <w:r>
        <w:t xml:space="preserve">Quotation Estimate</w:t>
      </w:r>
      <w:r>
        <w:t xml:space="preserve"> </w:t>
      </w:r>
      <w:r>
        <w:t xml:space="preserve">into a binding service agreement effective from the date of the last signature.</w:t>
      </w:r>
    </w:p>
    <w:p>
      <w:pPr>
        <w:pStyle w:val="BodyText"/>
      </w:pPr>
      <w:r>
        <w:rPr>
          <w:bCs/>
          <w:b/>
        </w:rPr>
        <w:t xml:space="preserve">For Gulf Industrial Solutions &amp; Consulting LLC</w:t>
      </w:r>
    </w:p>
    <w:p>
      <w:pPr>
        <w:pStyle w:val="BodyText"/>
      </w:pPr>
      <w:r>
        <w:t xml:space="preserve">Name: Dr. Sarah Al-Rashidi</w:t>
      </w:r>
      <w:r>
        <w:br/>
      </w:r>
      <w:r>
        <w:t xml:space="preserve">Title: Director of Operations</w:t>
      </w:r>
      <w:r>
        <w:br/>
      </w:r>
      <w:r>
        <w:t xml:space="preserve">Signature &amp; Date: _________________________</w:t>
      </w:r>
    </w:p>
    <w:p>
      <w:pPr>
        <w:pStyle w:val="BodyText"/>
      </w:pPr>
      <w:r>
        <w:rPr>
          <w:bCs/>
          <w:b/>
        </w:rPr>
        <w:t xml:space="preserve">For Al Nahda Manufacturing &amp; Processing Co. W.L.L.</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(Ref: QTE-2025-KW-0472) was prepared by Gulf Industrial Solutions &amp; Consulting LLC, Kuwait Kuwait City. Page 1 of 1. For queries, please contact quotations@gisconsulting-kw.com or call +965-2244-8890.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Kuwait Kuwait City</dc:title>
  <dc:creator/>
  <dc:language>en</dc:language>
  <cp:keywords/>
  <dcterms:created xsi:type="dcterms:W3CDTF">2026-10-10T02:14:16Z</dcterms:created>
  <dcterms:modified xsi:type="dcterms:W3CDTF">2026-10-10T02:14:16Z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