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rPr>
          <w:bCs/>
          <w:b/>
        </w:rPr>
        <w:t xml:space="preserve">Apex Industrial Solutions Co., Ltd.</w:t>
      </w:r>
    </w:p>
    <w:p>
      <w:pPr>
        <w:pStyle w:val="BodyText"/>
      </w:pPr>
      <w:r>
        <w:t xml:space="preserve">125, Strand Road, Sanchaung Township, Myanmar Yangon 11151</w:t>
      </w:r>
    </w:p>
    <w:p>
      <w:pPr>
        <w:pStyle w:val="BodyText"/>
      </w:pPr>
      <w:r>
        <w:t xml:space="preserve">Tel: +95-9-795-123-456 | Email: quotations@apexindustrial-mm.com</w:t>
      </w:r>
    </w:p>
    <w:p>
      <w:pPr>
        <w:pStyle w:val="BodyText"/>
      </w:pPr>
      <w:r>
        <w:t xml:space="preserve">Company Reg. No: 2019/YY/04521 | VAT Reg. No: 30012345678</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QTE-2025-YGN-00847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Myanmar Kyat (MMK) / US Dollar (USD)</w:t>
            </w:r>
          </w:p>
        </w:tc>
      </w:tr>
      <w:tr>
        <w:tc>
          <w:tcPr/>
          <w:p>
            <w:pPr>
              <w:pStyle w:val="Compact"/>
              <w:jc w:val="left"/>
            </w:pPr>
            <w:r>
              <w:t xml:space="preserve">Prepared For</w:t>
            </w:r>
          </w:p>
        </w:tc>
        <w:tc>
          <w:tcPr/>
          <w:p>
            <w:pPr>
              <w:pStyle w:val="Compact"/>
              <w:jc w:val="left"/>
            </w:pPr>
            <w:r>
              <w:t xml:space="preserve">Yangon Manufacturing &amp; Logistics Group Co., Ltd.</w:t>
            </w:r>
          </w:p>
        </w:tc>
        <w:tc>
          <w:tcPr/>
          <w:p>
            <w:pPr>
              <w:pStyle w:val="Compact"/>
              <w:jc w:val="left"/>
            </w:pPr>
            <w:r>
              <w:t xml:space="preserve">Project Location</w:t>
            </w:r>
          </w:p>
        </w:tc>
        <w:tc>
          <w:tcPr/>
          <w:p>
            <w:pPr>
              <w:pStyle w:val="Compact"/>
              <w:jc w:val="left"/>
            </w:pPr>
            <w:r>
              <w:t xml:space="preserve">Industrial Zone, Hlaing Tharyar Township, Myanmar Yangon</w:t>
            </w:r>
          </w:p>
        </w:tc>
      </w:tr>
      <w:tr>
        <w:tc>
          <w:tcPr/>
          <w:p>
            <w:pPr>
              <w:pStyle w:val="Compact"/>
              <w:jc w:val="left"/>
            </w:pPr>
            <w:r>
              <w:t xml:space="preserve">Contact Person</w:t>
            </w:r>
          </w:p>
        </w:tc>
        <w:tc>
          <w:tcPr/>
          <w:p>
            <w:pPr>
              <w:pStyle w:val="Compact"/>
              <w:jc w:val="left"/>
            </w:pPr>
            <w:r>
              <w:t xml:space="preserve">U Kyaw Min Aung (Operations Director)</w:t>
            </w:r>
          </w:p>
        </w:tc>
        <w:tc>
          <w:tcPr/>
          <w:p>
            <w:pPr>
              <w:pStyle w:val="Compact"/>
              <w:jc w:val="left"/>
            </w:pPr>
            <w:r>
              <w:t xml:space="preserve">Reference</w:t>
            </w:r>
          </w:p>
        </w:tc>
        <w:tc>
          <w:tcPr/>
          <w:p>
            <w:pPr>
              <w:pStyle w:val="Compact"/>
              <w:jc w:val="left"/>
            </w:pPr>
            <w:r>
              <w:t xml:space="preserve">RFP-2025-0312</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Apex Industrial Solutions Co., Ltd. in response to the Request for Proposal (RFP-2025-0312) submitted by Yangon Manufacturing &amp; Logistics Group Co., Ltd. The purpose of this document is to provide a comprehensive, itemized cost breakdown for the engagement of a senior</w:t>
      </w:r>
      <w:r>
        <w:t xml:space="preserve"> </w:t>
      </w:r>
      <w:r>
        <w:t xml:space="preserve">Industrial Engineer</w:t>
      </w:r>
      <w:r>
        <w:t xml:space="preserve"> </w:t>
      </w:r>
      <w:r>
        <w:t xml:space="preserve">to deliver process optimization, production line redesign, and operational efficiency consulting services at the client's manufacturing facility located in Myanmar Yangon. All pricing, deliverables, and timelines outlined in this</w:t>
      </w:r>
      <w:r>
        <w:t xml:space="preserve"> </w:t>
      </w:r>
      <w:r>
        <w:t xml:space="preserve">Quotation Estimate</w:t>
      </w:r>
      <w:r>
        <w:t xml:space="preserve"> </w:t>
      </w:r>
      <w:r>
        <w:t xml:space="preserve">are specific to the Myanmar Yangon operational context and account for local regulatory requirements, labor market conditions, and infrastructure considerations unique to the region.</w:t>
      </w:r>
    </w:p>
    <w:bookmarkEnd w:id="21"/>
    <w:bookmarkStart w:id="22" w:name="X8c57c687dc87aa36b5ab0887a962870188a1f29"/>
    <w:p>
      <w:pPr>
        <w:pStyle w:val="Heading2"/>
      </w:pPr>
      <w:r>
        <w:t xml:space="preserve">2. Scope of Services – Industrial Engineer Engagement</w:t>
      </w:r>
    </w:p>
    <w:p>
      <w:pPr>
        <w:pStyle w:val="FirstParagraph"/>
      </w:pPr>
      <w:r>
        <w:t xml:space="preserve">The</w:t>
      </w:r>
      <w:r>
        <w:t xml:space="preserve"> </w:t>
      </w:r>
      <w:r>
        <w:t xml:space="preserve">Industrial Engineer</w:t>
      </w:r>
      <w:r>
        <w:t xml:space="preserve"> </w:t>
      </w:r>
      <w:r>
        <w:t xml:space="preserve">engaged under this</w:t>
      </w:r>
      <w:r>
        <w:t xml:space="preserve"> </w:t>
      </w:r>
      <w:r>
        <w:t xml:space="preserve">Quotation Estimate</w:t>
      </w:r>
      <w:r>
        <w:t xml:space="preserve"> </w:t>
      </w:r>
      <w:r>
        <w:t xml:space="preserve">will provide the following professional services at the Myanmar Yangon facility:</w:t>
      </w:r>
    </w:p>
    <w:p>
      <w:pPr>
        <w:numPr>
          <w:ilvl w:val="0"/>
          <w:numId w:val="1001"/>
        </w:numPr>
        <w:pStyle w:val="Compact"/>
      </w:pPr>
      <w:r>
        <w:rPr>
          <w:bCs/>
          <w:b/>
        </w:rPr>
        <w:t xml:space="preserve">Process Mapping &amp; Analysis:</w:t>
      </w:r>
      <w:r>
        <w:t xml:space="preserve"> </w:t>
      </w:r>
      <w:r>
        <w:t xml:space="preserve">Comprehensive documentation and analysis of all existing production workflows, value streams, and material handling procedures across the Myanmar Yangon plant floor.</w:t>
      </w:r>
    </w:p>
    <w:p>
      <w:pPr>
        <w:numPr>
          <w:ilvl w:val="0"/>
          <w:numId w:val="1001"/>
        </w:numPr>
        <w:pStyle w:val="Compact"/>
      </w:pPr>
      <w:r>
        <w:rPr>
          <w:bCs/>
          <w:b/>
        </w:rPr>
        <w:t xml:space="preserve">Production Line Redesign:</w:t>
      </w:r>
      <w:r>
        <w:t xml:space="preserve"> </w:t>
      </w:r>
      <w:r>
        <w:t xml:space="preserve">Development of optimized layout configurations to reduce cycle time by a minimum of 18 percent and eliminate identified bottlenecks in the assembly and packaging stages.</w:t>
      </w:r>
    </w:p>
    <w:p>
      <w:pPr>
        <w:numPr>
          <w:ilvl w:val="0"/>
          <w:numId w:val="1001"/>
        </w:numPr>
        <w:pStyle w:val="Compact"/>
      </w:pPr>
      <w:r>
        <w:rPr>
          <w:bCs/>
          <w:b/>
        </w:rPr>
        <w:t xml:space="preserve">Quality Control Integration:</w:t>
      </w:r>
      <w:r>
        <w:t xml:space="preserve"> </w:t>
      </w:r>
      <w:r>
        <w:t xml:space="preserve">Implementation of statistical process control (SPC) frameworks and Six Sigma methodologies tailored to the quality standards required for export markets from Myanmar Yangon.</w:t>
      </w:r>
    </w:p>
    <w:p>
      <w:pPr>
        <w:numPr>
          <w:ilvl w:val="0"/>
          <w:numId w:val="1001"/>
        </w:numPr>
        <w:pStyle w:val="Compact"/>
      </w:pPr>
      <w:r>
        <w:rPr>
          <w:bCs/>
          <w:b/>
        </w:rPr>
        <w:t xml:space="preserve">Workforce Planning &amp; Ergonomics:</w:t>
      </w:r>
      <w:r>
        <w:t xml:space="preserve"> </w:t>
      </w:r>
      <w:r>
        <w:t xml:space="preserve">Assessment of labor allocation, shift scheduling, and workstation ergonomics in compliance with Myanmar labor regulations and the Myanmar Yangon industrial safety codes.</w:t>
      </w:r>
    </w:p>
    <w:p>
      <w:pPr>
        <w:numPr>
          <w:ilvl w:val="0"/>
          <w:numId w:val="1001"/>
        </w:numPr>
        <w:pStyle w:val="Compact"/>
      </w:pPr>
      <w:r>
        <w:rPr>
          <w:bCs/>
          <w:b/>
        </w:rPr>
        <w:t xml:space="preserve">Supply Chain &amp; Inventory Optimization:</w:t>
      </w:r>
      <w:r>
        <w:t xml:space="preserve"> </w:t>
      </w:r>
      <w:r>
        <w:t xml:space="preserve">Design of lean inventory management systems and supplier coordination protocols specific to the Myanmar Yangon logistics corridor.</w:t>
      </w:r>
    </w:p>
    <w:p>
      <w:pPr>
        <w:numPr>
          <w:ilvl w:val="0"/>
          <w:numId w:val="1001"/>
        </w:numPr>
        <w:pStyle w:val="Compact"/>
      </w:pPr>
      <w:r>
        <w:rPr>
          <w:bCs/>
          <w:b/>
        </w:rPr>
        <w:t xml:space="preserve">Training &amp; Knowledge Transfer:</w:t>
      </w:r>
      <w:r>
        <w:t xml:space="preserve"> </w:t>
      </w:r>
      <w:r>
        <w:t xml:space="preserve">Delivery of a minimum of 40 hours of on-site training for the client's internal engineering and operations teams in Myanmar Yangon.</w:t>
      </w:r>
    </w:p>
    <w:p>
      <w:pPr>
        <w:numPr>
          <w:ilvl w:val="0"/>
          <w:numId w:val="1001"/>
        </w:numPr>
        <w:pStyle w:val="Compact"/>
      </w:pPr>
      <w:r>
        <w:rPr>
          <w:bCs/>
          <w:b/>
        </w:rPr>
        <w:t xml:space="preserve">Final Reporting &amp; Recommendations:</w:t>
      </w:r>
      <w:r>
        <w:t xml:space="preserve"> </w:t>
      </w:r>
      <w:r>
        <w:t xml:space="preserve">Submission of a detailed technical report with actionable implementation roadmaps, cost-benefit analyses, and projected return-on-investment calculations.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Senior Industrial Engineer – On-site Consultancy (Myanmar Yangon)</w:t>
            </w:r>
          </w:p>
        </w:tc>
        <w:tc>
          <w:tcPr/>
          <w:p>
            <w:pPr>
              <w:pStyle w:val="Compact"/>
              <w:jc w:val="left"/>
            </w:pPr>
            <w:r>
              <w:t xml:space="preserve">12 weeks</w:t>
            </w:r>
          </w:p>
        </w:tc>
        <w:tc>
          <w:tcPr/>
          <w:p>
            <w:pPr>
              <w:pStyle w:val="Compact"/>
              <w:jc w:val="left"/>
            </w:pPr>
            <w:r>
              <w:t xml:space="preserve">$1,200/day</w:t>
            </w:r>
          </w:p>
        </w:tc>
        <w:tc>
          <w:tcPr/>
          <w:p>
            <w:pPr>
              <w:pStyle w:val="Compact"/>
              <w:jc w:val="left"/>
            </w:pPr>
            <w:r>
              <w:t xml:space="preserve">$288,000</w:t>
            </w:r>
          </w:p>
        </w:tc>
        <w:tc>
          <w:tcPr/>
          <w:p>
            <w:pPr>
              <w:pStyle w:val="Compact"/>
              <w:jc w:val="left"/>
            </w:pPr>
            <w:r>
              <w:t xml:space="preserve">532,800,000</w:t>
            </w:r>
          </w:p>
        </w:tc>
      </w:tr>
      <w:tr>
        <w:tc>
          <w:tcPr/>
          <w:p>
            <w:pPr>
              <w:pStyle w:val="Compact"/>
              <w:jc w:val="left"/>
            </w:pPr>
            <w:r>
              <w:t xml:space="preserve">2</w:t>
            </w:r>
          </w:p>
        </w:tc>
        <w:tc>
          <w:tcPr/>
          <w:p>
            <w:pPr>
              <w:pStyle w:val="Compact"/>
              <w:jc w:val="left"/>
            </w:pPr>
            <w:r>
              <w:t xml:space="preserve">Junior Industrial Engineer – Support &amp; Data Collection</w:t>
            </w:r>
          </w:p>
        </w:tc>
        <w:tc>
          <w:tcPr/>
          <w:p>
            <w:pPr>
              <w:pStyle w:val="Compact"/>
              <w:jc w:val="left"/>
            </w:pPr>
            <w:r>
              <w:t xml:space="preserve">12 weeks</w:t>
            </w:r>
          </w:p>
        </w:tc>
        <w:tc>
          <w:tcPr/>
          <w:p>
            <w:pPr>
              <w:pStyle w:val="Compact"/>
              <w:jc w:val="left"/>
            </w:pPr>
            <w:r>
              <w:t xml:space="preserve">$650/day</w:t>
            </w:r>
          </w:p>
        </w:tc>
        <w:tc>
          <w:tcPr/>
          <w:p>
            <w:pPr>
              <w:pStyle w:val="Compact"/>
              <w:jc w:val="left"/>
            </w:pPr>
            <w:r>
              <w:t xml:space="preserve">$156,000</w:t>
            </w:r>
          </w:p>
        </w:tc>
        <w:tc>
          <w:tcPr/>
          <w:p>
            <w:pPr>
              <w:pStyle w:val="Compact"/>
              <w:jc w:val="left"/>
            </w:pPr>
            <w:r>
              <w:t xml:space="preserve">287,520,000</w:t>
            </w:r>
          </w:p>
        </w:tc>
      </w:tr>
      <w:tr>
        <w:tc>
          <w:tcPr/>
          <w:p>
            <w:pPr>
              <w:pStyle w:val="Compact"/>
              <w:jc w:val="left"/>
            </w:pPr>
            <w:r>
              <w:t xml:space="preserve">3</w:t>
            </w:r>
          </w:p>
        </w:tc>
        <w:tc>
          <w:tcPr/>
          <w:p>
            <w:pPr>
              <w:pStyle w:val="Compact"/>
              <w:jc w:val="left"/>
            </w:pPr>
            <w:r>
              <w:t xml:space="preserve">Process Simulation Software License (FlexSim / Arena) – 12-month</w:t>
            </w:r>
          </w:p>
        </w:tc>
        <w:tc>
          <w:tcPr/>
          <w:p>
            <w:pPr>
              <w:pStyle w:val="Compact"/>
              <w:jc w:val="left"/>
            </w:pPr>
            <w:r>
              <w:t xml:space="preserve">12 months</w:t>
            </w:r>
          </w:p>
        </w:tc>
        <w:tc>
          <w:tcPr/>
          <w:p>
            <w:pPr>
              <w:pStyle w:val="Compact"/>
              <w:jc w:val="left"/>
            </w:pPr>
            <w:r>
              <w:t xml:space="preserve">Flat</w:t>
            </w:r>
          </w:p>
        </w:tc>
        <w:tc>
          <w:tcPr/>
          <w:p>
            <w:pPr>
              <w:pStyle w:val="Compact"/>
              <w:jc w:val="left"/>
            </w:pPr>
            <w:r>
              <w:t xml:space="preserve">$14,500</w:t>
            </w:r>
          </w:p>
        </w:tc>
        <w:tc>
          <w:tcPr/>
          <w:p>
            <w:pPr>
              <w:pStyle w:val="Compact"/>
              <w:jc w:val="left"/>
            </w:pPr>
            <w:r>
              <w:t xml:space="preserve">26,640,000</w:t>
            </w:r>
          </w:p>
        </w:tc>
      </w:tr>
      <w:tr>
        <w:tc>
          <w:tcPr/>
          <w:p>
            <w:pPr>
              <w:pStyle w:val="Compact"/>
              <w:jc w:val="left"/>
            </w:pPr>
            <w:r>
              <w:t xml:space="preserve">4</w:t>
            </w:r>
          </w:p>
        </w:tc>
        <w:tc>
          <w:tcPr/>
          <w:p>
            <w:pPr>
              <w:pStyle w:val="Compact"/>
              <w:jc w:val="left"/>
            </w:pPr>
            <w:r>
              <w:t xml:space="preserve">Travel, Accommodation &amp; Per Diem (Myanmar Yangon)</w:t>
            </w:r>
          </w:p>
        </w:tc>
        <w:tc>
          <w:tcPr/>
          <w:p>
            <w:pPr>
              <w:pStyle w:val="Compact"/>
              <w:jc w:val="left"/>
            </w:pPr>
            <w:r>
              <w:t xml:space="preserve">12 weeks</w:t>
            </w:r>
          </w:p>
        </w:tc>
        <w:tc>
          <w:tcPr/>
          <w:p>
            <w:pPr>
              <w:pStyle w:val="Compact"/>
              <w:jc w:val="left"/>
            </w:pPr>
            <w:r>
              <w:t xml:space="preserve">Flat</w:t>
            </w:r>
          </w:p>
        </w:tc>
        <w:tc>
          <w:tcPr/>
          <w:p>
            <w:pPr>
              <w:pStyle w:val="Compact"/>
              <w:jc w:val="left"/>
            </w:pPr>
            <w:r>
              <w:t xml:space="preserve">$22,000</w:t>
            </w:r>
          </w:p>
        </w:tc>
        <w:tc>
          <w:tcPr/>
          <w:p>
            <w:pPr>
              <w:pStyle w:val="Compact"/>
              <w:jc w:val="left"/>
            </w:pPr>
            <w:r>
              <w:t xml:space="preserve">40,480,000</w:t>
            </w:r>
          </w:p>
        </w:tc>
      </w:tr>
      <w:tr>
        <w:tc>
          <w:tcPr/>
          <w:p>
            <w:pPr>
              <w:pStyle w:val="Compact"/>
              <w:jc w:val="left"/>
            </w:pPr>
            <w:r>
              <w:t xml:space="preserve">5</w:t>
            </w:r>
          </w:p>
        </w:tc>
        <w:tc>
          <w:tcPr/>
          <w:p>
            <w:pPr>
              <w:pStyle w:val="Compact"/>
              <w:jc w:val="left"/>
            </w:pPr>
            <w:r>
              <w:t xml:space="preserve">Training Materials, Workbooks &amp; Certification Fees</w:t>
            </w:r>
          </w:p>
        </w:tc>
        <w:tc>
          <w:tcPr/>
          <w:p>
            <w:pPr>
              <w:pStyle w:val="Compact"/>
              <w:jc w:val="left"/>
            </w:pPr>
            <w:r>
              <w:t xml:space="preserve">One-time</w:t>
            </w:r>
          </w:p>
        </w:tc>
        <w:tc>
          <w:tcPr/>
          <w:p>
            <w:pPr>
              <w:pStyle w:val="Compact"/>
              <w:jc w:val="left"/>
            </w:pPr>
            <w:r>
              <w:t xml:space="preserve">Flat</w:t>
            </w:r>
          </w:p>
        </w:tc>
        <w:tc>
          <w:tcPr/>
          <w:p>
            <w:pPr>
              <w:pStyle w:val="Compact"/>
              <w:jc w:val="left"/>
            </w:pPr>
            <w:r>
              <w:t xml:space="preserve">$8,500</w:t>
            </w:r>
          </w:p>
        </w:tc>
        <w:tc>
          <w:tcPr/>
          <w:p>
            <w:pPr>
              <w:pStyle w:val="Compact"/>
              <w:jc w:val="left"/>
            </w:pPr>
            <w:r>
              <w:t xml:space="preserve">15,640,000</w:t>
            </w:r>
          </w:p>
        </w:tc>
      </w:tr>
      <w:tr>
        <w:tc>
          <w:tcPr/>
          <w:p>
            <w:pPr>
              <w:pStyle w:val="Compact"/>
              <w:jc w:val="left"/>
            </w:pPr>
            <w:r>
              <w:t xml:space="preserve">6</w:t>
            </w:r>
          </w:p>
        </w:tc>
        <w:tc>
          <w:tcPr/>
          <w:p>
            <w:pPr>
              <w:pStyle w:val="Compact"/>
              <w:jc w:val="left"/>
            </w:pPr>
            <w:r>
              <w:t xml:space="preserve">Final Technical Report, Blueprints &amp; Digital Deliverables</w:t>
            </w:r>
          </w:p>
        </w:tc>
        <w:tc>
          <w:tcPr/>
          <w:p>
            <w:pPr>
              <w:pStyle w:val="Compact"/>
              <w:jc w:val="left"/>
            </w:pPr>
            <w:r>
              <w:t xml:space="preserve">One-time</w:t>
            </w:r>
          </w:p>
        </w:tc>
        <w:tc>
          <w:tcPr/>
          <w:p>
            <w:pPr>
              <w:pStyle w:val="Compact"/>
              <w:jc w:val="left"/>
            </w:pPr>
            <w:r>
              <w:t xml:space="preserve">Flat</w:t>
            </w:r>
          </w:p>
        </w:tc>
        <w:tc>
          <w:tcPr/>
          <w:p>
            <w:pPr>
              <w:pStyle w:val="Compact"/>
              <w:jc w:val="left"/>
            </w:pPr>
            <w:r>
              <w:t xml:space="preserve">$12,000</w:t>
            </w:r>
          </w:p>
        </w:tc>
        <w:tc>
          <w:tcPr/>
          <w:p>
            <w:pPr>
              <w:pStyle w:val="Compact"/>
              <w:jc w:val="left"/>
            </w:pPr>
            <w:r>
              <w:t xml:space="preserve">22,080,000</w:t>
            </w:r>
          </w:p>
        </w:tc>
      </w:tr>
      <w:tr>
        <w:tc>
          <w:tcPr/>
          <w:p>
            <w:pPr>
              <w:pStyle w:val="Compact"/>
              <w:jc w:val="left"/>
            </w:pPr>
            <w:r>
              <w:t xml:space="preserve">7</w:t>
            </w:r>
          </w:p>
        </w:tc>
        <w:tc>
          <w:tcPr/>
          <w:p>
            <w:pPr>
              <w:pStyle w:val="Compact"/>
              <w:jc w:val="left"/>
            </w:pPr>
            <w:r>
              <w:t xml:space="preserve">Post-Implementation Follow-up (3 remote review sessions)</w:t>
            </w:r>
          </w:p>
        </w:tc>
        <w:tc>
          <w:tcPr/>
          <w:p>
            <w:pPr>
              <w:pStyle w:val="Compact"/>
              <w:jc w:val="left"/>
            </w:pPr>
            <w:r>
              <w:t xml:space="preserve">3 months</w:t>
            </w:r>
          </w:p>
        </w:tc>
        <w:tc>
          <w:tcPr/>
          <w:p>
            <w:pPr>
              <w:pStyle w:val="Compact"/>
              <w:jc w:val="left"/>
            </w:pPr>
            <w:r>
              <w:t xml:space="preserve">$800/session</w:t>
            </w:r>
          </w:p>
        </w:tc>
        <w:tc>
          <w:tcPr/>
          <w:p>
            <w:pPr>
              <w:pStyle w:val="Compact"/>
              <w:jc w:val="left"/>
            </w:pPr>
            <w:r>
              <w:t xml:space="preserve">$2,400</w:t>
            </w:r>
          </w:p>
        </w:tc>
        <w:tc>
          <w:tcPr/>
          <w:p>
            <w:pPr>
              <w:pStyle w:val="Compact"/>
              <w:jc w:val="left"/>
            </w:pPr>
            <w:r>
              <w:t xml:space="preserve">4,416,000</w:t>
            </w:r>
          </w:p>
        </w:tc>
      </w:tr>
      <w:tr>
        <w:tc>
          <w:tcPr>
            <w:gridSpan w:val="4"/>
          </w:tcPr>
          <w:p>
            <w:pPr>
              <w:pStyle w:val="Compact"/>
              <w:jc w:val="right"/>
            </w:pPr>
            <w:r>
              <w:t xml:space="preserve">Subtotal</w:t>
            </w:r>
          </w:p>
        </w:tc>
        <w:tc>
          <w:tcPr/>
          <w:p>
            <w:pPr>
              <w:pStyle w:val="Compact"/>
              <w:jc w:val="left"/>
            </w:pPr>
            <w:r>
              <w:t xml:space="preserve">$503,400</w:t>
            </w:r>
          </w:p>
        </w:tc>
        <w:tc>
          <w:tcPr/>
          <w:p>
            <w:pPr>
              <w:pStyle w:val="Compact"/>
              <w:jc w:val="left"/>
            </w:pPr>
            <w:r>
              <w:t xml:space="preserve">929,576,000</w:t>
            </w:r>
          </w:p>
        </w:tc>
      </w:tr>
      <w:tr>
        <w:tc>
          <w:tcPr>
            <w:gridSpan w:val="4"/>
          </w:tcPr>
          <w:p>
            <w:pPr>
              <w:pStyle w:val="Compact"/>
              <w:jc w:val="right"/>
            </w:pPr>
            <w:r>
              <w:t xml:space="preserve">VAT (5% – Myanmar Yangon Standard Rate)</w:t>
            </w:r>
          </w:p>
        </w:tc>
        <w:tc>
          <w:tcPr/>
          <w:p>
            <w:pPr>
              <w:pStyle w:val="Compact"/>
              <w:jc w:val="left"/>
            </w:pPr>
            <w:r>
              <w:t xml:space="preserve">$25,170</w:t>
            </w:r>
          </w:p>
        </w:tc>
        <w:tc>
          <w:tcPr/>
          <w:p>
            <w:pPr>
              <w:pStyle w:val="Compact"/>
              <w:jc w:val="left"/>
            </w:pPr>
            <w:r>
              <w:t xml:space="preserve">46,478,800</w:t>
            </w:r>
          </w:p>
        </w:tc>
      </w:tr>
      <w:tr>
        <w:tc>
          <w:tcPr>
            <w:gridSpan w:val="4"/>
          </w:tcPr>
          <w:p>
            <w:pPr>
              <w:pStyle w:val="Compact"/>
              <w:jc w:val="right"/>
            </w:pPr>
            <w:r>
              <w:rPr>
                <w:bCs/>
                <w:b/>
              </w:rPr>
              <w:t xml:space="preserve">TOTAL ESTIMATED COST</w:t>
            </w:r>
          </w:p>
        </w:tc>
        <w:tc>
          <w:tcPr/>
          <w:p>
            <w:pPr>
              <w:pStyle w:val="Compact"/>
              <w:jc w:val="left"/>
            </w:pPr>
            <w:r>
              <w:rPr>
                <w:bCs/>
                <w:b/>
              </w:rPr>
              <w:t xml:space="preserve">$528,570</w:t>
            </w:r>
          </w:p>
        </w:tc>
        <w:tc>
          <w:tcPr/>
          <w:p>
            <w:pPr>
              <w:pStyle w:val="Compact"/>
              <w:jc w:val="left"/>
            </w:pPr>
            <w:r>
              <w:rPr>
                <w:bCs/>
                <w:b/>
              </w:rPr>
              <w:t xml:space="preserve">976,054,800</w:t>
            </w:r>
          </w:p>
        </w:tc>
      </w:tr>
    </w:tbl>
    <w:bookmarkEnd w:id="23"/>
    <w:bookmarkStart w:id="24" w:name="payment-terms"/>
    <w:p>
      <w:pPr>
        <w:pStyle w:val="Heading2"/>
      </w:pPr>
      <w:r>
        <w:t xml:space="preserve">4. Payment Terms</w:t>
      </w:r>
    </w:p>
    <w:p>
      <w:pPr>
        <w:numPr>
          <w:ilvl w:val="0"/>
          <w:numId w:val="1002"/>
        </w:numPr>
        <w:pStyle w:val="Compact"/>
      </w:pPr>
      <w:r>
        <w:t xml:space="preserve">30 percent (30%) advance payment upon acceptance of this</w:t>
      </w:r>
      <w:r>
        <w:t xml:space="preserve"> </w:t>
      </w:r>
      <w:r>
        <w:t xml:space="preserve">Quotation Estimate</w:t>
      </w:r>
      <w:r>
        <w:t xml:space="preserve"> </w:t>
      </w:r>
      <w:r>
        <w:t xml:space="preserve">and execution of the service agreement.</w:t>
      </w:r>
    </w:p>
    <w:p>
      <w:pPr>
        <w:numPr>
          <w:ilvl w:val="0"/>
          <w:numId w:val="1002"/>
        </w:numPr>
        <w:pStyle w:val="Compact"/>
      </w:pPr>
      <w:r>
        <w:t xml:space="preserve">40 percent (40%) milestone payment upon completion of the process redesign phase (Week 8).</w:t>
      </w:r>
    </w:p>
    <w:p>
      <w:pPr>
        <w:numPr>
          <w:ilvl w:val="0"/>
          <w:numId w:val="1002"/>
        </w:numPr>
        <w:pStyle w:val="Compact"/>
      </w:pPr>
      <w:r>
        <w:t xml:space="preserve">30 percent (30%) final payment upon delivery and acceptance of the final technical report in Myanmar Yangon.</w:t>
      </w:r>
    </w:p>
    <w:p>
      <w:pPr>
        <w:numPr>
          <w:ilvl w:val="0"/>
          <w:numId w:val="1002"/>
        </w:numPr>
        <w:pStyle w:val="Compact"/>
      </w:pPr>
      <w:r>
        <w:t xml:space="preserve">All payments to be made via bank transfer to the account of Apex Industrial Solutions Co., Ltd., Yangon, Myanmar. USD payments accepted through designated foreign currency accounts.</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changes in the Myanmar Yangon market, exchange rate fluctuations, or resource availability.</w:t>
      </w:r>
    </w:p>
    <w:p>
      <w:pPr>
        <w:numPr>
          <w:ilvl w:val="0"/>
          <w:numId w:val="1003"/>
        </w:numPr>
        <w:pStyle w:val="Compact"/>
      </w:pPr>
      <w:r>
        <w:t xml:space="preserve">The</w:t>
      </w:r>
      <w:r>
        <w:t xml:space="preserve"> </w:t>
      </w:r>
      <w:r>
        <w:t xml:space="preserve">Industrial Engineer</w:t>
      </w:r>
      <w:r>
        <w:t xml:space="preserve"> </w:t>
      </w:r>
      <w:r>
        <w:t xml:space="preserve">and support staff shall comply with all applicable laws, regulations, and industrial safety standards of the Republic of the Union of Myanmar, including those enforced in the Myanmar Yangon industrial zones.</w:t>
      </w:r>
    </w:p>
    <w:p>
      <w:pPr>
        <w:numPr>
          <w:ilvl w:val="0"/>
          <w:numId w:val="1003"/>
        </w:numPr>
        <w:pStyle w:val="Compact"/>
      </w:pPr>
      <w:r>
        <w:t xml:space="preserve">Client is responsible for providing secure workspace, access to production floors, relevant historical data, and necessary permits for the</w:t>
      </w:r>
      <w:r>
        <w:t xml:space="preserve"> </w:t>
      </w:r>
      <w:r>
        <w:t xml:space="preserve">Industrial Engineer</w:t>
      </w:r>
      <w:r>
        <w:t xml:space="preserve"> </w:t>
      </w:r>
      <w:r>
        <w:t xml:space="preserve">to conduct on-site assessments in Myanmar Yangon.</w:t>
      </w:r>
    </w:p>
    <w:p>
      <w:pPr>
        <w:numPr>
          <w:ilvl w:val="0"/>
          <w:numId w:val="1003"/>
        </w:numPr>
        <w:pStyle w:val="Compact"/>
      </w:pPr>
      <w:r>
        <w:t xml:space="preserve">All intellectual property, process documentation, and proprietary methodologies developed under this engagement shall become the property of the client upon full payment.</w:t>
      </w:r>
    </w:p>
    <w:p>
      <w:pPr>
        <w:numPr>
          <w:ilvl w:val="0"/>
          <w:numId w:val="1003"/>
        </w:numPr>
        <w:pStyle w:val="Compact"/>
      </w:pPr>
      <w:r>
        <w:t xml:space="preserve">Force majeure events, including but not limited to natural disasters, government-mandated shutdowns, or civil unrest affecting the Myanmar Yangon area, shall extend project timelines proportionally without penalty to either party.</w:t>
      </w:r>
    </w:p>
    <w:p>
      <w:pPr>
        <w:numPr>
          <w:ilvl w:val="0"/>
          <w:numId w:val="1003"/>
        </w:numPr>
        <w:pStyle w:val="Compact"/>
      </w:pPr>
      <w:r>
        <w:t xml:space="preserve">Any changes to the scope of work must be documented in a formal Change Order signed by both parties before additional work commences. Revised costs will be reflected in a supplementary</w:t>
      </w:r>
      <w:r>
        <w:t xml:space="preserve"> </w:t>
      </w:r>
      <w:r>
        <w:t xml:space="preserve">Quotation Estimate</w:t>
      </w:r>
      <w:r>
        <w:t xml:space="preserve">.</w:t>
      </w:r>
    </w:p>
    <w:p>
      <w:pPr>
        <w:numPr>
          <w:ilvl w:val="0"/>
          <w:numId w:val="1003"/>
        </w:numPr>
        <w:pStyle w:val="Compact"/>
      </w:pPr>
      <w:r>
        <w:t xml:space="preserve">Confidentiality: All operational data, production figures, and strategic information shared during the engagement in Myanmar Yangon shall be treated as strictly confidential and shall not be disclosed to third parties without written consent.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the</w:t>
      </w:r>
      <w:r>
        <w:t xml:space="preserve"> </w:t>
      </w:r>
      <w:r>
        <w:t xml:space="preserve">Industrial Engineer</w:t>
      </w:r>
      <w:r>
        <w:t xml:space="preserve"> </w:t>
      </w:r>
      <w:r>
        <w:t xml:space="preserve">services at the Myanmar Yangon facility. This signature constitutes a binding agreement to proceed with the project as described herein.</w:t>
      </w:r>
    </w:p>
    <w:p>
      <w:pPr>
        <w:pStyle w:val="BodyText"/>
      </w:pPr>
      <w:r>
        <w:rPr>
          <w:bCs/>
          <w:b/>
        </w:rPr>
        <w:t xml:space="preserve">For and on behalf of:</w:t>
      </w:r>
      <w:r>
        <w:br/>
      </w:r>
      <w:r>
        <w:t xml:space="preserve">Apex Industrial Solutions Co., Ltd.</w:t>
      </w:r>
    </w:p>
    <w:p>
      <w:pPr>
        <w:pStyle w:val="BodyText"/>
      </w:pPr>
      <w:r>
        <w:t xml:space="preserve">Name: U Thura Win Naing</w:t>
      </w:r>
      <w:r>
        <w:br/>
      </w:r>
      <w:r>
        <w:t xml:space="preserve">Title: Managing Director</w:t>
      </w:r>
      <w:r>
        <w:br/>
      </w:r>
      <w:r>
        <w:t xml:space="preserve">Signature &amp; Company Seal: _______________</w:t>
      </w:r>
    </w:p>
    <w:p>
      <w:pPr>
        <w:pStyle w:val="BodyText"/>
      </w:pPr>
      <w:r>
        <w:rPr>
          <w:bCs/>
          <w:b/>
        </w:rPr>
        <w:t xml:space="preserve">For and on behalf of:</w:t>
      </w:r>
      <w:r>
        <w:br/>
      </w:r>
      <w:r>
        <w:t xml:space="preserve">Yangon Manufacturing &amp; Logistics Group Co., Ltd.</w:t>
      </w:r>
    </w:p>
    <w:p>
      <w:pPr>
        <w:pStyle w:val="BodyText"/>
      </w:pPr>
      <w:r>
        <w:t xml:space="preserve">Name: U Kyaw Min Aung</w:t>
      </w:r>
      <w:r>
        <w:br/>
      </w:r>
      <w:r>
        <w:t xml:space="preserve">Title: Operations Director</w:t>
      </w:r>
      <w:r>
        <w:br/>
      </w:r>
      <w:r>
        <w:t xml:space="preserve">Signature &amp; Company Seal: 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(Ref: QTE-2025-YGN-00847) is prepared exclusively for the Myanmar Yangon project referenced above. It does not constitute a final contract until countersigned by both parties. All figures are estimates based on current Myanmar Yangon market conditions as of June 2025. Exchange rate used: 1 USD = 1,880 MMK. Please direct all inquiries regarding this</w:t>
      </w:r>
      <w:r>
        <w:t xml:space="preserve"> </w:t>
      </w:r>
      <w:r>
        <w:t xml:space="preserve">Quotation Estimate</w:t>
      </w:r>
      <w:r>
        <w:t xml:space="preserve"> </w:t>
      </w:r>
      <w:r>
        <w:t xml:space="preserve">to the undersigned project coordinator at Apex Industrial Solutions Co., Ltd., Myanmar Yangon.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Myanmar Yangon</dc:title>
  <dc:creator/>
  <dc:language>en</dc:language>
  <cp:keywords/>
  <dcterms:created xsi:type="dcterms:W3CDTF">2026-10-10T03:36:15Z</dcterms:created>
  <dcterms:modified xsi:type="dcterms:W3CDTF">2026-10-10T03:36:15Z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