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Industrial Engineer Services</w:t>
      </w:r>
    </w:p>
    <w:p>
      <w:pPr>
        <w:pStyle w:val="BodyText"/>
      </w:pPr>
      <w:r>
        <w:t xml:space="preserve">Qatar Doha — State of Qatar</w:t>
      </w:r>
    </w:p>
    <w:p>
      <w:pPr>
        <w:pStyle w:val="BodyText"/>
      </w:pPr>
      <w:r>
        <w:t xml:space="preserve">Ref: QE-IE-QD-2025-0472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Days from Date of Issue</w:t>
            </w:r>
          </w:p>
        </w:tc>
      </w:tr>
      <w:tr>
        <w:tc>
          <w:tcPr/>
          <w:p>
            <w:pPr>
              <w:pStyle w:val="Compact"/>
              <w:jc w:val="left"/>
            </w:pPr>
            <w:r>
              <w:t xml:space="preserve">Prepared By</w:t>
            </w:r>
          </w:p>
        </w:tc>
        <w:tc>
          <w:tcPr/>
          <w:p>
            <w:pPr>
              <w:pStyle w:val="Compact"/>
              <w:jc w:val="left"/>
            </w:pPr>
            <w:r>
              <w:t xml:space="preserve">Al Rayyan Engineering Consultancy LLC</w:t>
            </w:r>
          </w:p>
        </w:tc>
        <w:tc>
          <w:tcPr/>
          <w:p>
            <w:pPr>
              <w:pStyle w:val="Compact"/>
              <w:jc w:val="left"/>
            </w:pPr>
            <w:r>
              <w:t xml:space="preserve">Contact</w:t>
            </w:r>
          </w:p>
        </w:tc>
        <w:tc>
          <w:tcPr/>
          <w:p>
            <w:pPr>
              <w:pStyle w:val="Compact"/>
              <w:jc w:val="left"/>
            </w:pPr>
            <w:r>
              <w:t xml:space="preserve">info@alrayyan-eng.qa | +974 4455 6677</w:t>
            </w:r>
          </w:p>
        </w:tc>
      </w:tr>
      <w:tr>
        <w:tc>
          <w:tcPr/>
          <w:p>
            <w:pPr>
              <w:pStyle w:val="Compact"/>
              <w:jc w:val="left"/>
            </w:pPr>
            <w:r>
              <w:t xml:space="preserve">Client / Recipient</w:t>
            </w:r>
          </w:p>
        </w:tc>
        <w:tc>
          <w:tcPr/>
          <w:p>
            <w:pPr>
              <w:pStyle w:val="Compact"/>
              <w:jc w:val="left"/>
            </w:pPr>
            <w:r>
              <w:t xml:space="preserve">Qatar Industrial Development Zone (QIDZ) Authority</w:t>
            </w:r>
          </w:p>
        </w:tc>
        <w:tc>
          <w:tcPr/>
          <w:p>
            <w:pPr>
              <w:pStyle w:val="Compact"/>
              <w:jc w:val="left"/>
            </w:pPr>
            <w:r>
              <w:t xml:space="preserve">Project Location</w:t>
            </w:r>
          </w:p>
        </w:tc>
        <w:tc>
          <w:tcPr/>
          <w:p>
            <w:pPr>
              <w:pStyle w:val="Compact"/>
              <w:jc w:val="left"/>
            </w:pPr>
            <w:r>
              <w:t xml:space="preserve">Industrial Area, Qatar Doha</w:t>
            </w:r>
          </w:p>
        </w:tc>
      </w:tr>
      <w:tr>
        <w:tc>
          <w:tcPr/>
          <w:p>
            <w:pPr>
              <w:pStyle w:val="Compact"/>
              <w:jc w:val="left"/>
            </w:pPr>
            <w:r>
              <w:t xml:space="preserve">Currency</w:t>
            </w:r>
          </w:p>
        </w:tc>
        <w:tc>
          <w:tcPr/>
          <w:p>
            <w:pPr>
              <w:pStyle w:val="Compact"/>
              <w:jc w:val="left"/>
            </w:pPr>
            <w:r>
              <w:t xml:space="preserve">Qatari Riyal (QAR)</w:t>
            </w:r>
          </w:p>
        </w:tc>
        <w:tc>
          <w:tcPr/>
          <w:p>
            <w:pPr>
              <w:pStyle w:val="Compact"/>
              <w:jc w:val="left"/>
            </w:pPr>
            <w:r>
              <w:t xml:space="preserve">Payment Terms</w:t>
            </w:r>
          </w:p>
        </w:tc>
        <w:tc>
          <w:tcPr/>
          <w:p>
            <w:pPr>
              <w:pStyle w:val="Compact"/>
              <w:jc w:val="left"/>
            </w:pPr>
            <w:r>
              <w:t xml:space="preserve">Net 30 Days</w:t>
            </w:r>
          </w:p>
        </w:tc>
      </w:tr>
    </w:tbl>
    <w:p>
      <w:pPr>
        <w:pStyle w:val="BodyText"/>
      </w:pPr>
      <w:r>
        <w:t xml:space="preserve">1. Purpose and Scope of This Quotation Estimate</w:t>
      </w:r>
    </w:p>
    <w:p>
      <w:pPr>
        <w:pStyle w:val="BodyText"/>
      </w:pPr>
      <w:r>
        <w:t xml:space="preserve">This Quotation Estimate is issued by Al Rayyan Engineering Consultancy LLC to formally present the cost breakdown, deliverables, and professional engagement terms for the deployment of a qualified</w:t>
      </w:r>
      <w:r>
        <w:t xml:space="preserve"> </w:t>
      </w:r>
      <w:r>
        <w:rPr>
          <w:bCs/>
          <w:b/>
        </w:rPr>
        <w:t xml:space="preserve">Industrial Engineer</w:t>
      </w:r>
      <w:r>
        <w:t xml:space="preserve"> </w:t>
      </w:r>
      <w:r>
        <w:t xml:space="preserve">to support operational optimization, process improvement, and production efficiency initiatives at the client's manufacturing and logistics facilities located in</w:t>
      </w:r>
      <w:r>
        <w:t xml:space="preserve"> </w:t>
      </w:r>
      <w:r>
        <w:rPr>
          <w:bCs/>
          <w:b/>
        </w:rPr>
        <w:t xml:space="preserve">Qatar Doha</w:t>
      </w:r>
      <w:r>
        <w:t xml:space="preserve">. This document serves as a binding financial proposal upon client acceptance and is structured in full compliance with the commercial and regulatory standards applicable within the State of Qatar.</w:t>
      </w:r>
    </w:p>
    <w:p>
      <w:pPr>
        <w:pStyle w:val="BodyText"/>
      </w:pPr>
      <w:r>
        <w:t xml:space="preserve">The Industrial Engineer referenced in this Quotation Estimate holds a minimum of ten (10) years of progressive experience in process engineering, lean manufacturing, supply chain optimization, and industrial automation. The professional engagement is specifically tailored to the unique operational environment of Qatar Doha, where the client operates multi-phase production lines, warehousing distribution centers, and quality assurance laboratories.</w:t>
      </w:r>
    </w:p>
    <w:p>
      <w:pPr>
        <w:pStyle w:val="BodyText"/>
      </w:pPr>
      <w:r>
        <w:t xml:space="preserve">2. Detailed Cost Breakdown — Industrial Engineer Services in Qatar Doha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Deliverable</w:t>
            </w:r>
          </w:p>
        </w:tc>
        <w:tc>
          <w:tcPr/>
          <w:p>
            <w:pPr>
              <w:pStyle w:val="Compact"/>
              <w:jc w:val="left"/>
            </w:pPr>
            <w:r>
              <w:t xml:space="preserve">Duration</w:t>
            </w:r>
          </w:p>
        </w:tc>
        <w:tc>
          <w:tcPr/>
          <w:p>
            <w:pPr>
              <w:pStyle w:val="Compact"/>
              <w:jc w:val="left"/>
            </w:pPr>
            <w:r>
              <w:t xml:space="preserve">Rate (QAR)</w:t>
            </w:r>
          </w:p>
        </w:tc>
        <w:tc>
          <w:tcPr/>
          <w:p>
            <w:pPr>
              <w:pStyle w:val="Compact"/>
              <w:jc w:val="left"/>
            </w:pPr>
            <w:r>
              <w:t xml:space="preserve">Amount (QAR)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site assessment and operational audit of all production lines at the Qatar Doha facility. Includes time-motion studies, bottleneck identification, and baseline efficiency mapping.</w:t>
            </w:r>
          </w:p>
        </w:tc>
        <w:tc>
          <w:tcPr/>
          <w:p>
            <w:pPr>
              <w:pStyle w:val="Compact"/>
              <w:jc w:val="left"/>
            </w:pPr>
            <w:r>
              <w:t xml:space="preserve">2 Weeks</w:t>
            </w:r>
          </w:p>
        </w:tc>
        <w:tc>
          <w:tcPr/>
          <w:p>
            <w:pPr>
              <w:pStyle w:val="Compact"/>
              <w:jc w:val="left"/>
            </w:pPr>
            <w:r>
              <w:t xml:space="preserve">18,500</w:t>
            </w:r>
          </w:p>
        </w:tc>
        <w:tc>
          <w:tcPr/>
          <w:p>
            <w:pPr>
              <w:pStyle w:val="Compact"/>
              <w:jc w:val="left"/>
            </w:pPr>
            <w:r>
              <w:t xml:space="preserve">37,000</w:t>
            </w:r>
          </w:p>
        </w:tc>
        <w:tc>
          <w:tcPr/>
          <w:p>
            <w:pPr>
              <w:pStyle w:val="Compact"/>
              <w:jc w:val="left"/>
            </w:pPr>
            <w:r>
              <w:t xml:space="preserve">On-site in Qatar Doha</w:t>
            </w:r>
          </w:p>
        </w:tc>
      </w:tr>
      <w:tr>
        <w:tc>
          <w:tcPr/>
          <w:p>
            <w:pPr>
              <w:pStyle w:val="Compact"/>
              <w:jc w:val="left"/>
            </w:pPr>
            <w:r>
              <w:t xml:space="preserve">2</w:t>
            </w:r>
          </w:p>
        </w:tc>
        <w:tc>
          <w:tcPr/>
          <w:p>
            <w:pPr>
              <w:pStyle w:val="Compact"/>
              <w:jc w:val="left"/>
            </w:pPr>
            <w:r>
              <w:t xml:space="preserve">Development of a comprehensive Industrial Engineering optimization plan covering lean manufacturing implementation, value stream mapping, and waste elimination strategies.</w:t>
            </w:r>
          </w:p>
        </w:tc>
        <w:tc>
          <w:tcPr/>
          <w:p>
            <w:pPr>
              <w:pStyle w:val="Compact"/>
              <w:jc w:val="left"/>
            </w:pPr>
            <w:r>
              <w:t xml:space="preserve">4 Weeks</w:t>
            </w:r>
          </w:p>
        </w:tc>
        <w:tc>
          <w:tcPr/>
          <w:p>
            <w:pPr>
              <w:pStyle w:val="Compact"/>
              <w:jc w:val="left"/>
            </w:pPr>
            <w:r>
              <w:t xml:space="preserve">22,000</w:t>
            </w:r>
          </w:p>
        </w:tc>
        <w:tc>
          <w:tcPr/>
          <w:p>
            <w:pPr>
              <w:pStyle w:val="Compact"/>
              <w:jc w:val="left"/>
            </w:pPr>
            <w:r>
              <w:t xml:space="preserve">88,000</w:t>
            </w:r>
          </w:p>
        </w:tc>
        <w:tc>
          <w:tcPr/>
          <w:p>
            <w:pPr>
              <w:pStyle w:val="Compact"/>
              <w:jc w:val="left"/>
            </w:pPr>
            <w:r>
              <w:t xml:space="preserve">Deliverable: 120-page report</w:t>
            </w:r>
          </w:p>
        </w:tc>
      </w:tr>
      <w:tr>
        <w:tc>
          <w:tcPr/>
          <w:p>
            <w:pPr>
              <w:pStyle w:val="Compact"/>
              <w:jc w:val="left"/>
            </w:pPr>
            <w:r>
              <w:t xml:space="preserve">3</w:t>
            </w:r>
          </w:p>
        </w:tc>
        <w:tc>
          <w:tcPr/>
          <w:p>
            <w:pPr>
              <w:pStyle w:val="Compact"/>
              <w:jc w:val="left"/>
            </w:pPr>
            <w:r>
              <w:t xml:space="preserve">Design and implementation of an automated quality control system integrated with existing ERP infrastructure at the Qatar Doha plant.</w:t>
            </w:r>
          </w:p>
        </w:tc>
        <w:tc>
          <w:tcPr/>
          <w:p>
            <w:pPr>
              <w:pStyle w:val="Compact"/>
              <w:jc w:val="left"/>
            </w:pPr>
            <w:r>
              <w:t xml:space="preserve">6 Weeks</w:t>
            </w:r>
          </w:p>
        </w:tc>
        <w:tc>
          <w:tcPr/>
          <w:p>
            <w:pPr>
              <w:pStyle w:val="Compact"/>
              <w:jc w:val="left"/>
            </w:pPr>
            <w:r>
              <w:t xml:space="preserve">25,000</w:t>
            </w:r>
          </w:p>
        </w:tc>
        <w:tc>
          <w:tcPr/>
          <w:p>
            <w:pPr>
              <w:pStyle w:val="Compact"/>
              <w:jc w:val="left"/>
            </w:pPr>
            <w:r>
              <w:t xml:space="preserve">150,000</w:t>
            </w:r>
          </w:p>
        </w:tc>
        <w:tc>
          <w:tcPr/>
          <w:p>
            <w:pPr>
              <w:pStyle w:val="Compact"/>
              <w:jc w:val="left"/>
            </w:pPr>
            <w:r>
              <w:t xml:space="preserve">Includes vendor coordination</w:t>
            </w:r>
          </w:p>
        </w:tc>
      </w:tr>
      <w:tr>
        <w:tc>
          <w:tcPr/>
          <w:p>
            <w:pPr>
              <w:pStyle w:val="Compact"/>
              <w:jc w:val="left"/>
            </w:pPr>
            <w:r>
              <w:t xml:space="preserve">4</w:t>
            </w:r>
          </w:p>
        </w:tc>
        <w:tc>
          <w:tcPr/>
          <w:p>
            <w:pPr>
              <w:pStyle w:val="Compact"/>
              <w:jc w:val="left"/>
            </w:pPr>
            <w:r>
              <w:t xml:space="preserve">Workforce productivity analysis and ergonomic workstation redesign for 350+ operators across three shifts in Qatar Doha.</w:t>
            </w:r>
          </w:p>
        </w:tc>
        <w:tc>
          <w:tcPr/>
          <w:p>
            <w:pPr>
              <w:pStyle w:val="Compact"/>
              <w:jc w:val="left"/>
            </w:pPr>
            <w:r>
              <w:t xml:space="preserve">3 Weeks</w:t>
            </w:r>
          </w:p>
        </w:tc>
        <w:tc>
          <w:tcPr/>
          <w:p>
            <w:pPr>
              <w:pStyle w:val="Compact"/>
              <w:jc w:val="left"/>
            </w:pPr>
            <w:r>
              <w:t xml:space="preserve">19,500</w:t>
            </w:r>
          </w:p>
        </w:tc>
        <w:tc>
          <w:tcPr/>
          <w:p>
            <w:pPr>
              <w:pStyle w:val="Compact"/>
              <w:jc w:val="left"/>
            </w:pPr>
            <w:r>
              <w:t xml:space="preserve">58,500</w:t>
            </w:r>
          </w:p>
        </w:tc>
        <w:tc>
          <w:tcPr/>
          <w:p>
            <w:pPr>
              <w:pStyle w:val="Compact"/>
              <w:jc w:val="left"/>
            </w:pPr>
            <w:r>
              <w:t xml:space="preserve">Compliance with Qatari labor law</w:t>
            </w:r>
          </w:p>
        </w:tc>
      </w:tr>
      <w:tr>
        <w:tc>
          <w:tcPr/>
          <w:p>
            <w:pPr>
              <w:pStyle w:val="Compact"/>
              <w:jc w:val="left"/>
            </w:pPr>
            <w:r>
              <w:t xml:space="preserve">5</w:t>
            </w:r>
          </w:p>
        </w:tc>
        <w:tc>
          <w:tcPr/>
          <w:p>
            <w:pPr>
              <w:pStyle w:val="Compact"/>
              <w:jc w:val="left"/>
            </w:pPr>
            <w:r>
              <w:t xml:space="preserve">Supply chain and logistics flow optimization for inbound raw materials and outbound finished goods within the Qatar Doha industrial corridor.</w:t>
            </w:r>
          </w:p>
        </w:tc>
        <w:tc>
          <w:tcPr/>
          <w:p>
            <w:pPr>
              <w:pStyle w:val="Compact"/>
              <w:jc w:val="left"/>
            </w:pPr>
            <w:r>
              <w:t xml:space="preserve">4 Weeks</w:t>
            </w:r>
          </w:p>
        </w:tc>
        <w:tc>
          <w:tcPr/>
          <w:p>
            <w:pPr>
              <w:pStyle w:val="Compact"/>
              <w:jc w:val="left"/>
            </w:pPr>
            <w:r>
              <w:t xml:space="preserve">21,000</w:t>
            </w:r>
          </w:p>
        </w:tc>
        <w:tc>
          <w:tcPr/>
          <w:p>
            <w:pPr>
              <w:pStyle w:val="Compact"/>
              <w:jc w:val="left"/>
            </w:pPr>
            <w:r>
              <w:t xml:space="preserve">84,000</w:t>
            </w:r>
          </w:p>
        </w:tc>
        <w:tc>
          <w:tcPr/>
          <w:p>
            <w:pPr>
              <w:pStyle w:val="Compact"/>
              <w:jc w:val="left"/>
            </w:pPr>
            <w:r>
              <w:t xml:space="preserve">Includes 3D flow simulation</w:t>
            </w:r>
          </w:p>
        </w:tc>
      </w:tr>
      <w:tr>
        <w:tc>
          <w:tcPr/>
          <w:p>
            <w:pPr>
              <w:pStyle w:val="Compact"/>
              <w:jc w:val="left"/>
            </w:pPr>
            <w:r>
              <w:t xml:space="preserve">6</w:t>
            </w:r>
          </w:p>
        </w:tc>
        <w:tc>
          <w:tcPr/>
          <w:p>
            <w:pPr>
              <w:pStyle w:val="Compact"/>
              <w:jc w:val="left"/>
            </w:pPr>
            <w:r>
              <w:t xml:space="preserve">Training and capacity-building workshops for client's internal engineering and operations teams (4 sessions, 8 hours each).</w:t>
            </w:r>
          </w:p>
        </w:tc>
        <w:tc>
          <w:tcPr/>
          <w:p>
            <w:pPr>
              <w:pStyle w:val="Compact"/>
              <w:jc w:val="left"/>
            </w:pPr>
            <w:r>
              <w:t xml:space="preserve">2 Weeks</w:t>
            </w:r>
          </w:p>
        </w:tc>
        <w:tc>
          <w:tcPr/>
          <w:p>
            <w:pPr>
              <w:pStyle w:val="Compact"/>
              <w:jc w:val="left"/>
            </w:pPr>
            <w:r>
              <w:t xml:space="preserve">15,000</w:t>
            </w:r>
          </w:p>
        </w:tc>
        <w:tc>
          <w:tcPr/>
          <w:p>
            <w:pPr>
              <w:pStyle w:val="Compact"/>
              <w:jc w:val="left"/>
            </w:pPr>
            <w:r>
              <w:t xml:space="preserve">30,000</w:t>
            </w:r>
          </w:p>
        </w:tc>
        <w:tc>
          <w:tcPr/>
          <w:p>
            <w:pPr>
              <w:pStyle w:val="Compact"/>
              <w:jc w:val="left"/>
            </w:pPr>
            <w:r>
              <w:t xml:space="preserve">Conducted in Qatar Doha</w:t>
            </w:r>
          </w:p>
        </w:tc>
      </w:tr>
      <w:tr>
        <w:tc>
          <w:tcPr/>
          <w:p>
            <w:pPr>
              <w:pStyle w:val="Compact"/>
              <w:jc w:val="left"/>
            </w:pPr>
            <w:r>
              <w:t xml:space="preserve">7</w:t>
            </w:r>
          </w:p>
        </w:tc>
        <w:tc>
          <w:tcPr/>
          <w:p>
            <w:pPr>
              <w:pStyle w:val="Compact"/>
              <w:jc w:val="left"/>
            </w:pPr>
            <w:r>
              <w:t xml:space="preserve">Ongoing technical advisory and monthly performance review for a period of six (6) months post-implementation.</w:t>
            </w:r>
          </w:p>
        </w:tc>
        <w:tc>
          <w:tcPr/>
          <w:p>
            <w:pPr>
              <w:pStyle w:val="Compact"/>
              <w:jc w:val="left"/>
            </w:pPr>
            <w:r>
              <w:t xml:space="preserve">6 Months</w:t>
            </w:r>
          </w:p>
        </w:tc>
        <w:tc>
          <w:tcPr/>
          <w:p>
            <w:pPr>
              <w:pStyle w:val="Compact"/>
              <w:jc w:val="left"/>
            </w:pPr>
            <w:r>
              <w:t xml:space="preserve">12,000/mo</w:t>
            </w:r>
          </w:p>
        </w:tc>
        <w:tc>
          <w:tcPr/>
          <w:p>
            <w:pPr>
              <w:pStyle w:val="Compact"/>
              <w:jc w:val="left"/>
            </w:pPr>
            <w:r>
              <w:t xml:space="preserve">72,000</w:t>
            </w:r>
          </w:p>
        </w:tc>
        <w:tc>
          <w:tcPr/>
          <w:p>
            <w:pPr>
              <w:pStyle w:val="Compact"/>
              <w:jc w:val="left"/>
            </w:pPr>
            <w:r>
              <w:t xml:space="preserve">Remote + 2 site visits</w:t>
            </w:r>
          </w:p>
        </w:tc>
      </w:tr>
      <w:tr>
        <w:tc>
          <w:tcPr/>
          <w:p>
            <w:pPr>
              <w:pStyle w:val="Compact"/>
              <w:jc w:val="left"/>
            </w:pPr>
            <w:r>
              <w:t xml:space="preserve">8</w:t>
            </w:r>
          </w:p>
        </w:tc>
        <w:tc>
          <w:tcPr/>
          <w:p>
            <w:pPr>
              <w:pStyle w:val="Compact"/>
              <w:jc w:val="left"/>
            </w:pPr>
            <w:r>
              <w:t xml:space="preserve">Travel, accommodation, and per diem for the Industrial Engineer during on-site phases in Qatar Doha (estimated 14 working days).</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28,500</w:t>
            </w:r>
          </w:p>
        </w:tc>
        <w:tc>
          <w:tcPr/>
          <w:p>
            <w:pPr>
              <w:pStyle w:val="Compact"/>
              <w:jc w:val="left"/>
            </w:pPr>
            <w:r>
              <w:t xml:space="preserve">5-star accommodation</w:t>
            </w:r>
          </w:p>
        </w:tc>
      </w:tr>
      <w:tr>
        <w:tc>
          <w:tcPr/>
          <w:p>
            <w:pPr>
              <w:pStyle w:val="Compact"/>
              <w:jc w:val="left"/>
            </w:pPr>
            <w:r>
              <w:t xml:space="preserve">9</w:t>
            </w:r>
          </w:p>
        </w:tc>
        <w:tc>
          <w:tcPr/>
          <w:p>
            <w:pPr>
              <w:pStyle w:val="Compact"/>
              <w:jc w:val="left"/>
            </w:pPr>
            <w:r>
              <w:t xml:space="preserve">Specialized software licenses (Arena Simulation, Minitab, AutoCAD Plant 3D) for the duration of the project.</w:t>
            </w:r>
          </w:p>
        </w:tc>
        <w:tc>
          <w:tcPr/>
          <w:p>
            <w:pPr>
              <w:pStyle w:val="Compact"/>
              <w:jc w:val="left"/>
            </w:pPr>
            <w:r>
              <w:t xml:space="preserve">Project term</w:t>
            </w:r>
          </w:p>
        </w:tc>
        <w:tc>
          <w:tcPr/>
          <w:p>
            <w:pPr>
              <w:pStyle w:val="Compact"/>
              <w:jc w:val="left"/>
            </w:pPr>
            <w:r>
              <w:t xml:space="preserve">—</w:t>
            </w:r>
          </w:p>
        </w:tc>
        <w:tc>
          <w:tcPr/>
          <w:p>
            <w:pPr>
              <w:pStyle w:val="Compact"/>
              <w:jc w:val="left"/>
            </w:pPr>
            <w:r>
              <w:t xml:space="preserve">18,000</w:t>
            </w:r>
          </w:p>
        </w:tc>
        <w:tc>
          <w:tcPr/>
          <w:p>
            <w:pPr>
              <w:pStyle w:val="Compact"/>
              <w:jc w:val="left"/>
            </w:pPr>
            <w:r>
              <w:t xml:space="preserve">Commercial licenses</w:t>
            </w:r>
          </w:p>
        </w:tc>
      </w:tr>
      <w:tr>
        <w:tc>
          <w:tcPr/>
          <w:p>
            <w:pPr>
              <w:pStyle w:val="Compact"/>
              <w:jc w:val="left"/>
            </w:pPr>
            <w:r>
              <w:t xml:space="preserve">10</w:t>
            </w:r>
          </w:p>
        </w:tc>
        <w:tc>
          <w:tcPr/>
          <w:p>
            <w:pPr>
              <w:pStyle w:val="Compact"/>
              <w:jc w:val="left"/>
            </w:pPr>
            <w:r>
              <w:t xml:space="preserve">Project management overhead, documentation, and final handover package.</w:t>
            </w:r>
          </w:p>
        </w:tc>
        <w:tc>
          <w:tcPr/>
          <w:p>
            <w:pPr>
              <w:pStyle w:val="Compact"/>
              <w:jc w:val="left"/>
            </w:pPr>
            <w:r>
              <w:t xml:space="preserve">Project term</w:t>
            </w:r>
          </w:p>
        </w:tc>
        <w:tc>
          <w:tcPr/>
          <w:p>
            <w:pPr>
              <w:pStyle w:val="Compact"/>
              <w:jc w:val="left"/>
            </w:pPr>
            <w:r>
              <w:t xml:space="preserve">—</w:t>
            </w:r>
          </w:p>
        </w:tc>
        <w:tc>
          <w:tcPr/>
          <w:p>
            <w:pPr>
              <w:pStyle w:val="Compact"/>
              <w:jc w:val="left"/>
            </w:pPr>
            <w:r>
              <w:t xml:space="preserve">25,000</w:t>
            </w:r>
          </w:p>
        </w:tc>
        <w:tc>
          <w:tcPr/>
          <w:p>
            <w:pPr>
              <w:pStyle w:val="Compact"/>
              <w:jc w:val="left"/>
            </w:pPr>
            <w:r>
              <w:t xml:space="preserve">Inclusive of all admin</w:t>
            </w:r>
          </w:p>
        </w:tc>
      </w:tr>
      <w:tr>
        <w:tc>
          <w:tcPr>
            <w:gridSpan w:val="4"/>
          </w:tcPr>
          <w:p>
            <w:pPr>
              <w:pStyle w:val="Compact"/>
              <w:jc w:val="right"/>
            </w:pPr>
            <w:r>
              <w:t xml:space="preserve">Subtotal</w:t>
            </w:r>
          </w:p>
        </w:tc>
        <w:tc>
          <w:tcPr/>
          <w:p>
            <w:pPr>
              <w:pStyle w:val="Compact"/>
              <w:jc w:val="left"/>
            </w:pPr>
            <w:r>
              <w:t xml:space="preserve">591,000</w:t>
            </w:r>
          </w:p>
        </w:tc>
        <w:tc>
          <w:tcPr/>
          <w:p>
            <w:pPr>
              <w:pStyle w:val="Compact"/>
            </w:pPr>
          </w:p>
        </w:tc>
      </w:tr>
      <w:tr>
        <w:tc>
          <w:tcPr>
            <w:gridSpan w:val="4"/>
          </w:tcPr>
          <w:p>
            <w:pPr>
              <w:pStyle w:val="Compact"/>
              <w:jc w:val="right"/>
            </w:pPr>
            <w:r>
              <w:t xml:space="preserve">VAT (5% — Qatar Standard)</w:t>
            </w:r>
          </w:p>
        </w:tc>
        <w:tc>
          <w:tcPr/>
          <w:p>
            <w:pPr>
              <w:pStyle w:val="Compact"/>
              <w:jc w:val="left"/>
            </w:pPr>
            <w:r>
              <w:t xml:space="preserve">29,550</w:t>
            </w:r>
          </w:p>
        </w:tc>
        <w:tc>
          <w:tcPr/>
          <w:p>
            <w:pPr>
              <w:pStyle w:val="Compact"/>
            </w:pPr>
          </w:p>
        </w:tc>
      </w:tr>
      <w:tr>
        <w:tc>
          <w:tcPr>
            <w:gridSpan w:val="4"/>
          </w:tcPr>
          <w:p>
            <w:pPr>
              <w:pStyle w:val="Compact"/>
              <w:jc w:val="right"/>
            </w:pPr>
            <w:r>
              <w:t xml:space="preserve">TOTAL ESTIMATED COST</w:t>
            </w:r>
          </w:p>
        </w:tc>
        <w:tc>
          <w:tcPr/>
          <w:p>
            <w:pPr>
              <w:pStyle w:val="Compact"/>
              <w:jc w:val="left"/>
            </w:pPr>
            <w:r>
              <w:t xml:space="preserve">620,550</w:t>
            </w:r>
          </w:p>
        </w:tc>
        <w:tc>
          <w:tcPr/>
          <w:p>
            <w:pPr>
              <w:pStyle w:val="Compact"/>
              <w:jc w:val="left"/>
            </w:pPr>
            <w:r>
              <w:t xml:space="preserve">QAR</w:t>
            </w:r>
          </w:p>
        </w:tc>
      </w:tr>
    </w:tbl>
    <w:p>
      <w:pPr>
        <w:pStyle w:val="BodyText"/>
      </w:pPr>
      <w:r>
        <w:rPr>
          <w:bCs/>
          <w:b/>
        </w:rPr>
        <w:t xml:space="preserve">Note:</w:t>
      </w:r>
      <w:r>
        <w:t xml:space="preserve"> </w:t>
      </w:r>
      <w:r>
        <w:t xml:space="preserve">This Quotation Estimate is valid for thirty (30) calendar days from the date of issue. All rates are quoted in Qatari Riyal (QAR) and are inclusive of the Industrial Engineer's professional fees, technical expertise, and project deliverables. Any scope modification beyond the parameters described herein will be subject to a revised Quotation Estimate issued separately.</w:t>
      </w:r>
    </w:p>
    <w:p>
      <w:pPr>
        <w:pStyle w:val="BodyText"/>
      </w:pPr>
      <w:r>
        <w:t xml:space="preserve">3. Terms and Conditions</w:t>
      </w:r>
    </w:p>
    <w:p>
      <w:pPr>
        <w:numPr>
          <w:ilvl w:val="0"/>
          <w:numId w:val="1001"/>
        </w:numPr>
        <w:pStyle w:val="Compact"/>
      </w:pPr>
      <w:r>
        <w:t xml:space="preserve">This Quotation Estimate constitutes a formal commercial proposal for the engagement of an Industrial Engineer to deliver the services described in Section 2. Acceptance of this document by the client shall constitute a binding agreement between both parties.</w:t>
      </w:r>
    </w:p>
    <w:p>
      <w:pPr>
        <w:numPr>
          <w:ilvl w:val="0"/>
          <w:numId w:val="1001"/>
        </w:numPr>
        <w:pStyle w:val="Compact"/>
      </w:pPr>
      <w:r>
        <w:t xml:space="preserve">The Industrial Engineer shall be fully compliant with all Qatari labor regulations, professional licensing requirements, and the Qatar Doha municipal and industrial zone operational guidelines throughout the engagement period.</w:t>
      </w:r>
    </w:p>
    <w:p>
      <w:pPr>
        <w:numPr>
          <w:ilvl w:val="0"/>
          <w:numId w:val="1001"/>
        </w:numPr>
        <w:pStyle w:val="Compact"/>
      </w:pPr>
      <w:r>
        <w:t xml:space="preserve">Payment shall be made in three (3) milestones: 40% upon contract signing, 40% upon completion of the optimization plan and system implementation, and 20% upon final handover and acceptance of all deliverables.</w:t>
      </w:r>
    </w:p>
    <w:p>
      <w:pPr>
        <w:numPr>
          <w:ilvl w:val="0"/>
          <w:numId w:val="1001"/>
        </w:numPr>
        <w:pStyle w:val="Compact"/>
      </w:pPr>
      <w:r>
        <w:t xml:space="preserve">All intellectual property, reports, simulations, and documentation produced by the Industrial Engineer during the course of this engagement in Qatar Doha shall become the exclusive property of the client upon full payment.</w:t>
      </w:r>
    </w:p>
    <w:p>
      <w:pPr>
        <w:numPr>
          <w:ilvl w:val="0"/>
          <w:numId w:val="1001"/>
        </w:numPr>
        <w:pStyle w:val="Compact"/>
      </w:pPr>
      <w:r>
        <w:t xml:space="preserve">The Industrial Engineer shall maintain strict confidentiality regarding all proprietary processes, trade secrets, and operational data encountered at the Qatar Doha facility. A Non-Disclosure Agreement (NDA) shall be executed prior to site access.</w:t>
      </w:r>
    </w:p>
    <w:p>
      <w:pPr>
        <w:numPr>
          <w:ilvl w:val="0"/>
          <w:numId w:val="1001"/>
        </w:numPr>
        <w:pStyle w:val="Compact"/>
      </w:pPr>
      <w:r>
        <w:t xml:space="preserve">Any force majeure events, including but not limited to government-mandated shutdowns, extreme weather conditions affecting Qatar Doha operations, or regulatory changes, shall extend the project timeline proportionally without additional cost to the client.</w:t>
      </w:r>
    </w:p>
    <w:p>
      <w:pPr>
        <w:numPr>
          <w:ilvl w:val="0"/>
          <w:numId w:val="1001"/>
        </w:numPr>
        <w:pStyle w:val="Compact"/>
      </w:pPr>
      <w:r>
        <w:t xml:space="preserve">Disputes arising from this Quotation Estimate shall be resolved through arbitration in accordance with the Qatar Arbitration Law, with the seat of arbitration in Doha, Qatar.</w:t>
      </w:r>
    </w:p>
    <w:p>
      <w:pPr>
        <w:numPr>
          <w:ilvl w:val="0"/>
          <w:numId w:val="1001"/>
        </w:numPr>
        <w:pStyle w:val="Compact"/>
      </w:pPr>
      <w:r>
        <w:t xml:space="preserve">This Quotation Estimate does not include costs for third-party equipment procurement, civil works, or any capital expenditure items. Such items, if required, will be quoted separately.</w:t>
      </w:r>
    </w:p>
    <w:p>
      <w:pPr>
        <w:pStyle w:val="FirstParagraph"/>
      </w:pPr>
      <w:r>
        <w:t xml:space="preserve">4. Acceptance and Authorization</w:t>
      </w:r>
    </w:p>
    <w:p>
      <w:pPr>
        <w:pStyle w:val="BodyText"/>
      </w:pPr>
      <w:r>
        <w:t xml:space="preserve">By signing below, the client acknowledges receipt of this Quotation Estimate and authorizes Al Rayyan Engineering Consultancy LLC to proceed with the engagement of the Industrial Engineer for the services described herein at the Qatar Doha facility.</w:t>
      </w:r>
    </w:p>
    <w:p>
      <w:pPr>
        <w:pStyle w:val="BodyText"/>
      </w:pPr>
      <w:r>
        <w:rPr>
          <w:bCs/>
          <w:b/>
        </w:rPr>
        <w:t xml:space="preserve">For: Al Rayyan Engineering Consultancy LLC</w:t>
      </w:r>
      <w:r>
        <w:br/>
      </w:r>
      <w:r>
        <w:t xml:space="preserve">Name: ______________________________</w:t>
      </w:r>
      <w:r>
        <w:br/>
      </w:r>
      <w:r>
        <w:t xml:space="preserve">Title: Managing Director</w:t>
      </w:r>
      <w:r>
        <w:br/>
      </w:r>
      <w:r>
        <w:t xml:space="preserve">Date: ______________________________</w:t>
      </w:r>
    </w:p>
    <w:p>
      <w:pPr>
        <w:pStyle w:val="BodyText"/>
      </w:pPr>
      <w:r>
        <w:rPr>
          <w:bCs/>
          <w:b/>
        </w:rPr>
        <w:t xml:space="preserve">For: Qatar Industrial Development Zone Authority</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 2025 Al Rayyan Engineering Consultancy LLC — Qatar Doha, State of Qatar. All rights reserved.</w:t>
      </w:r>
      <w:r>
        <w:br/>
      </w:r>
      <w:r>
        <w:t xml:space="preserve">This Quotation Estimate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Qatar Doha</dc:title>
  <dc:creator/>
  <dc:language>en</dc:language>
  <cp:keywords/>
  <dcterms:created xsi:type="dcterms:W3CDTF">2026-10-10T03:36:56Z</dcterms:created>
  <dcterms:modified xsi:type="dcterms:W3CDTF">2026-10-10T03:36:56Z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