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6" w:name="quotation-estimate"/>
    <w:p>
      <w:pPr>
        <w:pStyle w:val="Heading1"/>
      </w:pPr>
      <w:r>
        <w:t xml:space="preserve">QUOTATION ESTIMATE</w:t>
      </w:r>
    </w:p>
    <w:p>
      <w:pPr>
        <w:pStyle w:val="FirstParagraph"/>
      </w:pPr>
      <w:r>
        <w:t xml:space="preserve">Industrial Engineer Professional Services</w:t>
      </w:r>
    </w:p>
    <w:p>
      <w:pPr>
        <w:pStyle w:val="BodyText"/>
      </w:pPr>
      <w:r>
        <w:t xml:space="preserve">Prepared for Operations in Russia Saint Petersburg</w:t>
      </w:r>
    </w:p>
    <w:p>
      <w:pPr>
        <w:pStyle w:val="BodyText"/>
      </w:pPr>
      <w:r>
        <w:rPr>
          <w:bCs/>
          <w:b/>
        </w:rPr>
        <w:t xml:space="preserve">Quotation No.:</w:t>
      </w:r>
      <w:r>
        <w:t xml:space="preserve"> </w:t>
      </w:r>
      <w:r>
        <w:t xml:space="preserve">QE-SPB-2025-0417</w:t>
      </w:r>
      <w:r>
        <w:br/>
      </w:r>
      <w:r>
        <w:rPr>
          <w:bCs/>
          <w:b/>
        </w:rPr>
        <w:t xml:space="preserve">Date Issued:</w:t>
      </w:r>
      <w:r>
        <w:t xml:space="preserve"> </w:t>
      </w:r>
      <w:r>
        <w:t xml:space="preserve">15 June 2025</w:t>
      </w:r>
      <w:r>
        <w:br/>
      </w:r>
      <w:r>
        <w:rPr>
          <w:bCs/>
          <w:b/>
        </w:rPr>
        <w:t xml:space="preserve">Valid Until:</w:t>
      </w:r>
      <w:r>
        <w:t xml:space="preserve"> </w:t>
      </w:r>
      <w:r>
        <w:t xml:space="preserve">15 September 2025</w:t>
      </w:r>
      <w:r>
        <w:br/>
      </w:r>
      <w:r>
        <w:rPr>
          <w:bCs/>
          <w:b/>
        </w:rPr>
        <w:t xml:space="preserve">Version:</w:t>
      </w:r>
      <w:r>
        <w:t xml:space="preserve"> </w:t>
      </w:r>
      <w:r>
        <w:t xml:space="preserve">1.0</w:t>
      </w:r>
    </w:p>
    <w:p>
      <w:pPr>
        <w:pStyle w:val="BodyText"/>
      </w:pPr>
      <w:r>
        <w:rPr>
          <w:bCs/>
          <w:b/>
        </w:rPr>
        <w:t xml:space="preserve">Prepared By:</w:t>
      </w:r>
      <w:r>
        <w:t xml:space="preserve"> </w:t>
      </w:r>
      <w:r>
        <w:t xml:space="preserve">V. A. Kuznetsov</w:t>
      </w:r>
      <w:r>
        <w:br/>
      </w:r>
      <w:r>
        <w:t xml:space="preserve">Senior Industrial Engineer</w:t>
      </w:r>
      <w:r>
        <w:br/>
      </w:r>
      <w:r>
        <w:t xml:space="preserve">Petrograd Engineering Solutions LLC</w:t>
      </w:r>
      <w:r>
        <w:br/>
      </w:r>
      <w:r>
        <w:t xml:space="preserve">12 Liteyny Avenue, Saint Petersburg, 191025</w:t>
      </w:r>
      <w:r>
        <w:br/>
      </w:r>
      <w:r>
        <w:t xml:space="preserve">Russia</w:t>
      </w:r>
      <w:r>
        <w:br/>
      </w:r>
      <w:r>
        <w:t xml:space="preserve">Tel: +7 (812) 555-0142</w:t>
      </w:r>
      <w:r>
        <w:br/>
      </w:r>
      <w:r>
        <w:t xml:space="preserve">Email: v.kuznetsov@petrograd-eng.ru</w:t>
      </w:r>
    </w:p>
    <w:bookmarkStart w:id="20" w:name="client-information"/>
    <w:p>
      <w:pPr>
        <w:pStyle w:val="Heading2"/>
      </w:pPr>
      <w:r>
        <w:t xml:space="preserve">1. Client Information</w:t>
      </w:r>
    </w:p>
    <w:p>
      <w:pPr>
        <w:pStyle w:val="FirstParagraph"/>
      </w:pPr>
      <w:r>
        <w:rPr>
          <w:bCs/>
          <w:b/>
        </w:rPr>
        <w:t xml:space="preserve">Client Name:</w:t>
      </w:r>
      <w:r>
        <w:t xml:space="preserve"> </w:t>
      </w:r>
      <w:r>
        <w:t xml:space="preserve">Baltic Manufacturing Group JSC</w:t>
      </w:r>
      <w:r>
        <w:br/>
      </w:r>
      <w:r>
        <w:rPr>
          <w:bCs/>
          <w:b/>
        </w:rPr>
        <w:t xml:space="preserve">Address:</w:t>
      </w:r>
      <w:r>
        <w:t xml:space="preserve"> </w:t>
      </w:r>
      <w:r>
        <w:t xml:space="preserve">45 Moskovsky Prospekt, Saint Petersburg, 190020, Russia</w:t>
      </w:r>
      <w:r>
        <w:br/>
      </w:r>
      <w:r>
        <w:rPr>
          <w:bCs/>
          <w:b/>
        </w:rPr>
        <w:t xml:space="preserve">Attention:</w:t>
      </w:r>
      <w:r>
        <w:t xml:space="preserve"> </w:t>
      </w:r>
      <w:r>
        <w:t xml:space="preserve">Mr. Dmitry S. Volkov, Chief Operations Officer</w:t>
      </w:r>
      <w:r>
        <w:br/>
      </w:r>
      <w:r>
        <w:rPr>
          <w:bCs/>
          <w:b/>
        </w:rPr>
        <w:t xml:space="preserve">Project Reference:</w:t>
      </w:r>
      <w:r>
        <w:t xml:space="preserve"> </w:t>
      </w:r>
      <w:r>
        <w:t xml:space="preserve">BGM-OPS-2025-Q3</w:t>
      </w:r>
      <w:r>
        <w:br/>
      </w:r>
      <w:r>
        <w:rPr>
          <w:bCs/>
          <w:b/>
        </w:rPr>
        <w:t xml:space="preserve">Site Location:</w:t>
      </w:r>
      <w:r>
        <w:t xml:space="preserve"> </w:t>
      </w:r>
      <w:r>
        <w:t xml:space="preserve">Krasnoye Selo Industrial Zone, Saint Petersburg, Russia</w:t>
      </w:r>
    </w:p>
    <w:bookmarkEnd w:id="20"/>
    <w:bookmarkStart w:id="21" w:name="scope-of-work-services-description"/>
    <w:p>
      <w:pPr>
        <w:pStyle w:val="Heading2"/>
      </w:pPr>
      <w:r>
        <w:t xml:space="preserve">2. Scope of Work &amp; Services Description</w:t>
      </w:r>
    </w:p>
    <w:p>
      <w:pPr>
        <w:pStyle w:val="FirstParagraph"/>
      </w:pPr>
      <w:r>
        <w:t xml:space="preserve">This Quotation Estimate is issued by Petrograd Engineering Solutions LLC to provide comprehensive Industrial Engineer consulting and on-site operational services for Baltic Manufacturing Group JSC. The scope of work encompasses process optimization, production line redesign, workforce efficiency analysis, and lean manufacturing implementation across the client's manufacturing facilities located in the Krasnoye Selo Industrial Zone, Russia Saint Petersburg.</w:t>
      </w:r>
    </w:p>
    <w:p>
      <w:pPr>
        <w:pStyle w:val="BodyText"/>
      </w:pPr>
      <w:r>
        <w:t xml:space="preserve">The Industrial Engineer assigned to this engagement will operate under the direct supervision of the client's Operations Directorate and will be responsible for the following deliverables:</w:t>
      </w:r>
    </w:p>
    <w:p>
      <w:pPr>
        <w:numPr>
          <w:ilvl w:val="0"/>
          <w:numId w:val="1001"/>
        </w:numPr>
        <w:pStyle w:val="Compact"/>
      </w:pPr>
      <w:r>
        <w:t xml:space="preserve">Conduct a full-time-motion study and time-and-motion analysis across all three production lines (Line A, Line B, and Line C) to identify bottlenecks, redundancies, and areas of suboptimal throughput.</w:t>
      </w:r>
    </w:p>
    <w:p>
      <w:pPr>
        <w:numPr>
          <w:ilvl w:val="0"/>
          <w:numId w:val="1001"/>
        </w:numPr>
        <w:pStyle w:val="Compact"/>
      </w:pPr>
      <w:r>
        <w:t xml:space="preserve">Develop and implement a lean manufacturing framework tailored to the specific operational constraints and regulatory requirements applicable to industrial operations in Russia Saint Petersburg.</w:t>
      </w:r>
    </w:p>
    <w:p>
      <w:pPr>
        <w:numPr>
          <w:ilvl w:val="0"/>
          <w:numId w:val="1001"/>
        </w:numPr>
        <w:pStyle w:val="Compact"/>
      </w:pPr>
      <w:r>
        <w:t xml:space="preserve">Design an optimized layout plan for the assembly and packaging areas, incorporating ergonomic assessments and material flow improvements.</w:t>
      </w:r>
    </w:p>
    <w:p>
      <w:pPr>
        <w:numPr>
          <w:ilvl w:val="0"/>
          <w:numId w:val="1001"/>
        </w:numPr>
        <w:pStyle w:val="Compact"/>
      </w:pPr>
      <w:r>
        <w:t xml:space="preserve">Prepare a detailed capacity planning model projecting production output for the next 24 months, factoring in seasonal demand fluctuations typical of the Saint Petersburg industrial market.</w:t>
      </w:r>
    </w:p>
    <w:p>
      <w:pPr>
        <w:numPr>
          <w:ilvl w:val="0"/>
          <w:numId w:val="1001"/>
        </w:numPr>
        <w:pStyle w:val="Compact"/>
      </w:pPr>
      <w:r>
        <w:t xml:space="preserve">Deliver a comprehensive Quality Control Integration Report, aligning existing inspection protocols with ISO 9001:2015 standards and Russian GOST regulatory requirements.</w:t>
      </w:r>
    </w:p>
    <w:p>
      <w:pPr>
        <w:numPr>
          <w:ilvl w:val="0"/>
          <w:numId w:val="1001"/>
        </w:numPr>
        <w:pStyle w:val="Compact"/>
      </w:pPr>
      <w:r>
        <w:t xml:space="preserve">Provide on-site training sessions (minimum 40 hours) for the client's supervisory staff on continuous improvement methodologies, statistical process control, and root-cause analysis techniques.</w:t>
      </w:r>
    </w:p>
    <w:p>
      <w:pPr>
        <w:numPr>
          <w:ilvl w:val="0"/>
          <w:numId w:val="1001"/>
        </w:numPr>
        <w:pStyle w:val="Compact"/>
      </w:pPr>
      <w:r>
        <w:t xml:space="preserve">Prepare a final project report with actionable recommendations, projected ROI calculations, and a 12-month post-implementation monitoring plan.</w:t>
      </w:r>
    </w:p>
    <w:bookmarkEnd w:id="21"/>
    <w:bookmarkStart w:id="22" w:name="quotation-estimate-line-items"/>
    <w:p>
      <w:pPr>
        <w:pStyle w:val="Heading2"/>
      </w:pPr>
      <w:r>
        <w:t xml:space="preserve">3. Quotation Estimate –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(RUB)</w:t>
            </w:r>
          </w:p>
        </w:tc>
        <w:tc>
          <w:tcPr/>
          <w:p>
            <w:pPr>
              <w:pStyle w:val="Compact"/>
              <w:jc w:val="left"/>
            </w:pPr>
            <w:r>
              <w:t xml:space="preserve">Quantity</w:t>
            </w:r>
          </w:p>
        </w:tc>
        <w:tc>
          <w:tcPr/>
          <w:p>
            <w:pPr>
              <w:pStyle w:val="Compact"/>
              <w:jc w:val="left"/>
            </w:pPr>
            <w:r>
              <w:t xml:space="preserve">Amount (RUB)</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site assessment and baseline data collection (all three production lines)</w:t>
            </w:r>
          </w:p>
        </w:tc>
        <w:tc>
          <w:tcPr/>
          <w:p>
            <w:pPr>
              <w:pStyle w:val="Compact"/>
              <w:jc w:val="left"/>
            </w:pPr>
            <w:r>
              <w:t xml:space="preserve">2 weeks</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c>
          <w:tcPr/>
          <w:p>
            <w:pPr>
              <w:pStyle w:val="Compact"/>
              <w:jc w:val="left"/>
            </w:pPr>
            <w:r>
              <w:t xml:space="preserve">Includes travel within Saint Petersburg</w:t>
            </w:r>
          </w:p>
        </w:tc>
      </w:tr>
      <w:tr>
        <w:tc>
          <w:tcPr/>
          <w:p>
            <w:pPr>
              <w:pStyle w:val="Compact"/>
              <w:jc w:val="left"/>
            </w:pPr>
            <w:r>
              <w:t xml:space="preserve">2</w:t>
            </w:r>
          </w:p>
        </w:tc>
        <w:tc>
          <w:tcPr/>
          <w:p>
            <w:pPr>
              <w:pStyle w:val="Compact"/>
              <w:jc w:val="left"/>
            </w:pPr>
            <w:r>
              <w:t xml:space="preserve">Time-and-motion study and process mapping (per line)</w:t>
            </w:r>
          </w:p>
        </w:tc>
        <w:tc>
          <w:tcPr/>
          <w:p>
            <w:pPr>
              <w:pStyle w:val="Compact"/>
              <w:jc w:val="left"/>
            </w:pPr>
            <w:r>
              <w:t xml:space="preserve">3 weeks</w:t>
            </w:r>
          </w:p>
        </w:tc>
        <w:tc>
          <w:tcPr/>
          <w:p>
            <w:pPr>
              <w:pStyle w:val="Compact"/>
              <w:jc w:val="left"/>
            </w:pPr>
            <w:r>
              <w:t xml:space="preserve">180,000</w:t>
            </w:r>
          </w:p>
        </w:tc>
        <w:tc>
          <w:tcPr/>
          <w:p>
            <w:pPr>
              <w:pStyle w:val="Compact"/>
              <w:jc w:val="left"/>
            </w:pPr>
            <w:r>
              <w:t xml:space="preserve">3</w:t>
            </w:r>
          </w:p>
        </w:tc>
        <w:tc>
          <w:tcPr/>
          <w:p>
            <w:pPr>
              <w:pStyle w:val="Compact"/>
              <w:jc w:val="left"/>
            </w:pPr>
            <w:r>
              <w:t xml:space="preserve">540,000</w:t>
            </w:r>
          </w:p>
        </w:tc>
        <w:tc>
          <w:tcPr/>
          <w:p>
            <w:pPr>
              <w:pStyle w:val="Compact"/>
              <w:jc w:val="left"/>
            </w:pPr>
            <w:r>
              <w:t xml:space="preserve">One Industrial Engineer per line</w:t>
            </w:r>
          </w:p>
        </w:tc>
      </w:tr>
      <w:tr>
        <w:tc>
          <w:tcPr/>
          <w:p>
            <w:pPr>
              <w:pStyle w:val="Compact"/>
              <w:jc w:val="left"/>
            </w:pPr>
            <w:r>
              <w:t xml:space="preserve">3</w:t>
            </w:r>
          </w:p>
        </w:tc>
        <w:tc>
          <w:tcPr/>
          <w:p>
            <w:pPr>
              <w:pStyle w:val="Compact"/>
              <w:jc w:val="left"/>
            </w:pPr>
            <w:r>
              <w:t xml:space="preserve">Lean manufacturing framework design and documentation</w:t>
            </w:r>
          </w:p>
        </w:tc>
        <w:tc>
          <w:tcPr/>
          <w:p>
            <w:pPr>
              <w:pStyle w:val="Compact"/>
              <w:jc w:val="left"/>
            </w:pPr>
            <w:r>
              <w:t xml:space="preserve">4 weeks</w:t>
            </w:r>
          </w:p>
        </w:tc>
        <w:tc>
          <w:tcPr/>
          <w:p>
            <w:pPr>
              <w:pStyle w:val="Compact"/>
              <w:jc w:val="left"/>
            </w:pPr>
            <w:r>
              <w:t xml:space="preserve">220,000</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Deliverable: 120-page technical manual</w:t>
            </w:r>
          </w:p>
        </w:tc>
      </w:tr>
      <w:tr>
        <w:tc>
          <w:tcPr/>
          <w:p>
            <w:pPr>
              <w:pStyle w:val="Compact"/>
              <w:jc w:val="left"/>
            </w:pPr>
            <w:r>
              <w:t xml:space="preserve">4</w:t>
            </w:r>
          </w:p>
        </w:tc>
        <w:tc>
          <w:tcPr/>
          <w:p>
            <w:pPr>
              <w:pStyle w:val="Compact"/>
              <w:jc w:val="left"/>
            </w:pPr>
            <w:r>
              <w:t xml:space="preserve">Facility layout redesign and ergonomic assessment</w:t>
            </w:r>
          </w:p>
        </w:tc>
        <w:tc>
          <w:tcPr/>
          <w:p>
            <w:pPr>
              <w:pStyle w:val="Compact"/>
              <w:jc w:val="left"/>
            </w:pPr>
            <w:r>
              <w:t xml:space="preserve">3 weeks</w:t>
            </w:r>
          </w:p>
        </w:tc>
        <w:tc>
          <w:tcPr/>
          <w:p>
            <w:pPr>
              <w:pStyle w:val="Compact"/>
              <w:jc w:val="left"/>
            </w:pPr>
            <w:r>
              <w:t xml:space="preserve">195,000</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Includes CAD drawings</w:t>
            </w:r>
          </w:p>
        </w:tc>
      </w:tr>
      <w:tr>
        <w:tc>
          <w:tcPr/>
          <w:p>
            <w:pPr>
              <w:pStyle w:val="Compact"/>
              <w:jc w:val="left"/>
            </w:pPr>
            <w:r>
              <w:t xml:space="preserve">5</w:t>
            </w:r>
          </w:p>
        </w:tc>
        <w:tc>
          <w:tcPr/>
          <w:p>
            <w:pPr>
              <w:pStyle w:val="Compact"/>
              <w:jc w:val="left"/>
            </w:pPr>
            <w:r>
              <w:t xml:space="preserve">Capacity planning model development (24-month projection)</w:t>
            </w:r>
          </w:p>
        </w:tc>
        <w:tc>
          <w:tcPr/>
          <w:p>
            <w:pPr>
              <w:pStyle w:val="Compact"/>
              <w:jc w:val="left"/>
            </w:pPr>
            <w:r>
              <w:t xml:space="preserve">2 weeks</w:t>
            </w:r>
          </w:p>
        </w:tc>
        <w:tc>
          <w:tcPr/>
          <w:p>
            <w:pPr>
              <w:pStyle w:val="Compact"/>
              <w:jc w:val="left"/>
            </w:pPr>
            <w:r>
              <w:t xml:space="preserve">160,000</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Software: AnyLogic / Excel VBA</w:t>
            </w:r>
          </w:p>
        </w:tc>
      </w:tr>
      <w:tr>
        <w:tc>
          <w:tcPr/>
          <w:p>
            <w:pPr>
              <w:pStyle w:val="Compact"/>
              <w:jc w:val="left"/>
            </w:pPr>
            <w:r>
              <w:t xml:space="preserve">6</w:t>
            </w:r>
          </w:p>
        </w:tc>
        <w:tc>
          <w:tcPr/>
          <w:p>
            <w:pPr>
              <w:pStyle w:val="Compact"/>
              <w:jc w:val="left"/>
            </w:pPr>
            <w:r>
              <w:t xml:space="preserve">Quality Control Integration Report (ISO 9001 / GOST alignment)</w:t>
            </w:r>
          </w:p>
        </w:tc>
        <w:tc>
          <w:tcPr/>
          <w:p>
            <w:pPr>
              <w:pStyle w:val="Compact"/>
              <w:jc w:val="left"/>
            </w:pPr>
            <w:r>
              <w:t xml:space="preserve">2 weeks</w:t>
            </w:r>
          </w:p>
        </w:tc>
        <w:tc>
          <w:tcPr/>
          <w:p>
            <w:pPr>
              <w:pStyle w:val="Compact"/>
              <w:jc w:val="left"/>
            </w:pPr>
            <w:r>
              <w:t xml:space="preserve">140,000</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Compliance with Russian federal standards</w:t>
            </w:r>
          </w:p>
        </w:tc>
      </w:tr>
      <w:tr>
        <w:tc>
          <w:tcPr/>
          <w:p>
            <w:pPr>
              <w:pStyle w:val="Compact"/>
              <w:jc w:val="left"/>
            </w:pPr>
            <w:r>
              <w:t xml:space="preserve">7</w:t>
            </w:r>
          </w:p>
        </w:tc>
        <w:tc>
          <w:tcPr/>
          <w:p>
            <w:pPr>
              <w:pStyle w:val="Compact"/>
              <w:jc w:val="left"/>
            </w:pPr>
            <w:r>
              <w:t xml:space="preserve">On-site training programme for supervisory staff (40 hours)</w:t>
            </w:r>
          </w:p>
        </w:tc>
        <w:tc>
          <w:tcPr/>
          <w:p>
            <w:pPr>
              <w:pStyle w:val="Compact"/>
              <w:jc w:val="left"/>
            </w:pPr>
            <w:r>
              <w:t xml:space="preserve">5 days</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c>
          <w:tcPr/>
          <w:p>
            <w:pPr>
              <w:pStyle w:val="Compact"/>
              <w:jc w:val="left"/>
            </w:pPr>
            <w:r>
              <w:t xml:space="preserve">Up to 25 participants per session</w:t>
            </w:r>
          </w:p>
        </w:tc>
      </w:tr>
      <w:tr>
        <w:tc>
          <w:tcPr/>
          <w:p>
            <w:pPr>
              <w:pStyle w:val="Compact"/>
              <w:jc w:val="left"/>
            </w:pPr>
            <w:r>
              <w:t xml:space="preserve">8</w:t>
            </w:r>
          </w:p>
        </w:tc>
        <w:tc>
          <w:tcPr/>
          <w:p>
            <w:pPr>
              <w:pStyle w:val="Compact"/>
              <w:jc w:val="left"/>
            </w:pPr>
            <w:r>
              <w:t xml:space="preserve">Final project report, ROI analysis, and 12-month monitoring plan</w:t>
            </w:r>
          </w:p>
        </w:tc>
        <w:tc>
          <w:tcPr/>
          <w:p>
            <w:pPr>
              <w:pStyle w:val="Compact"/>
              <w:jc w:val="left"/>
            </w:pPr>
            <w:r>
              <w:t xml:space="preserve">2 weeks</w:t>
            </w:r>
          </w:p>
        </w:tc>
        <w:tc>
          <w:tcPr/>
          <w:p>
            <w:pPr>
              <w:pStyle w:val="Compact"/>
              <w:jc w:val="left"/>
            </w:pPr>
            <w:r>
              <w:t xml:space="preserve">175,000</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Includes executive summary</w:t>
            </w:r>
          </w:p>
        </w:tc>
      </w:tr>
      <w:tr>
        <w:tc>
          <w:tcPr/>
          <w:p>
            <w:pPr>
              <w:pStyle w:val="Compact"/>
              <w:jc w:val="left"/>
            </w:pPr>
            <w:r>
              <w:t xml:space="preserve">9</w:t>
            </w:r>
          </w:p>
        </w:tc>
        <w:tc>
          <w:tcPr/>
          <w:p>
            <w:pPr>
              <w:pStyle w:val="Compact"/>
              <w:jc w:val="left"/>
            </w:pPr>
            <w:r>
              <w:t xml:space="preserve">Post-implementation support and follow-up consultations (3 months)</w:t>
            </w:r>
          </w:p>
        </w:tc>
        <w:tc>
          <w:tcPr/>
          <w:p>
            <w:pPr>
              <w:pStyle w:val="Compact"/>
              <w:jc w:val="left"/>
            </w:pPr>
            <w:r>
              <w:t xml:space="preserve">3 months</w:t>
            </w:r>
          </w:p>
        </w:tc>
        <w:tc>
          <w:tcPr/>
          <w:p>
            <w:pPr>
              <w:pStyle w:val="Compact"/>
              <w:jc w:val="left"/>
            </w:pPr>
            <w:r>
              <w:t xml:space="preserve">80,000</w:t>
            </w:r>
          </w:p>
        </w:tc>
        <w:tc>
          <w:tcPr/>
          <w:p>
            <w:pPr>
              <w:pStyle w:val="Compact"/>
              <w:jc w:val="left"/>
            </w:pPr>
            <w:r>
              <w:t xml:space="preserve">3</w:t>
            </w:r>
          </w:p>
        </w:tc>
        <w:tc>
          <w:tcPr/>
          <w:p>
            <w:pPr>
              <w:pStyle w:val="Compact"/>
              <w:jc w:val="left"/>
            </w:pPr>
            <w:r>
              <w:t xml:space="preserve">240,000</w:t>
            </w:r>
          </w:p>
        </w:tc>
        <w:tc>
          <w:tcPr/>
          <w:p>
            <w:pPr>
              <w:pStyle w:val="Compact"/>
              <w:jc w:val="left"/>
            </w:pPr>
            <w:r>
              <w:t xml:space="preserve">Bi-weekly remote check-ins</w:t>
            </w:r>
          </w:p>
        </w:tc>
      </w:tr>
      <w:tr>
        <w:tc>
          <w:tcPr/>
          <w:p>
            <w:pPr>
              <w:pStyle w:val="Compact"/>
              <w:jc w:val="left"/>
            </w:pPr>
            <w:r>
              <w:t xml:space="preserve">10</w:t>
            </w:r>
          </w:p>
        </w:tc>
        <w:tc>
          <w:tcPr/>
          <w:p>
            <w:pPr>
              <w:pStyle w:val="Compact"/>
              <w:jc w:val="left"/>
            </w:pPr>
            <w:r>
              <w:t xml:space="preserve">Travel, accommodation, and per diem (Industrial Engineer, 14 weeks)</w:t>
            </w:r>
          </w:p>
        </w:tc>
        <w:tc>
          <w:tcPr/>
          <w:p>
            <w:pPr>
              <w:pStyle w:val="Compact"/>
              <w:jc w:val="left"/>
            </w:pPr>
            <w:r>
              <w:t xml:space="preserve">14 weeks</w:t>
            </w:r>
          </w:p>
        </w:tc>
        <w:tc>
          <w:tcPr/>
          <w:p>
            <w:pPr>
              <w:pStyle w:val="Compact"/>
              <w:jc w:val="left"/>
            </w:pPr>
            <w:r>
              <w:t xml:space="preserve">12,000</w:t>
            </w:r>
          </w:p>
        </w:tc>
        <w:tc>
          <w:tcPr/>
          <w:p>
            <w:pPr>
              <w:pStyle w:val="Compact"/>
              <w:jc w:val="left"/>
            </w:pPr>
            <w:r>
              <w:t xml:space="preserve">14</w:t>
            </w:r>
          </w:p>
        </w:tc>
        <w:tc>
          <w:tcPr/>
          <w:p>
            <w:pPr>
              <w:pStyle w:val="Compact"/>
              <w:jc w:val="left"/>
            </w:pPr>
            <w:r>
              <w:t xml:space="preserve">168,000</w:t>
            </w:r>
          </w:p>
        </w:tc>
        <w:tc>
          <w:tcPr/>
          <w:p>
            <w:pPr>
              <w:pStyle w:val="Compact"/>
              <w:jc w:val="left"/>
            </w:pPr>
            <w:r>
              <w:t xml:space="preserve">Within Saint Petersburg metro area</w:t>
            </w:r>
          </w:p>
        </w:tc>
      </w:tr>
      <w:tr>
        <w:tc>
          <w:tcPr>
            <w:gridSpan w:val="5"/>
          </w:tcPr>
          <w:p>
            <w:pPr>
              <w:pStyle w:val="Compact"/>
              <w:jc w:val="left"/>
            </w:pPr>
            <w:r>
              <w:t xml:space="preserve">SUBTOTAL</w:t>
            </w:r>
          </w:p>
        </w:tc>
        <w:tc>
          <w:tcPr/>
          <w:p>
            <w:pPr>
              <w:pStyle w:val="Compact"/>
              <w:jc w:val="left"/>
            </w:pPr>
            <w:r>
              <w:t xml:space="preserve">1,918,000</w:t>
            </w:r>
          </w:p>
        </w:tc>
        <w:tc>
          <w:tcPr/>
          <w:p>
            <w:pPr>
              <w:pStyle w:val="Compact"/>
            </w:pPr>
          </w:p>
        </w:tc>
      </w:tr>
      <w:tr>
        <w:tc>
          <w:tcPr>
            <w:gridSpan w:val="5"/>
          </w:tcPr>
          <w:p>
            <w:pPr>
              <w:pStyle w:val="Compact"/>
              <w:jc w:val="left"/>
            </w:pPr>
            <w:r>
              <w:t xml:space="preserve">VAT (20% – Russian Federal Tax Code)</w:t>
            </w:r>
          </w:p>
        </w:tc>
        <w:tc>
          <w:tcPr/>
          <w:p>
            <w:pPr>
              <w:pStyle w:val="Compact"/>
              <w:jc w:val="left"/>
            </w:pPr>
            <w:r>
              <w:t xml:space="preserve">383,600</w:t>
            </w:r>
          </w:p>
        </w:tc>
        <w:tc>
          <w:tcPr/>
          <w:p>
            <w:pPr>
              <w:pStyle w:val="Compact"/>
              <w:jc w:val="left"/>
            </w:pPr>
            <w:r>
              <w:t xml:space="preserve">Applicable per RF legislation</w:t>
            </w:r>
          </w:p>
        </w:tc>
      </w:tr>
      <w:tr>
        <w:tc>
          <w:tcPr>
            <w:gridSpan w:val="5"/>
          </w:tcPr>
          <w:p>
            <w:pPr>
              <w:pStyle w:val="Compact"/>
              <w:jc w:val="left"/>
            </w:pPr>
            <w:r>
              <w:t xml:space="preserve">TOTAL QUOTATION ESTIMATE AMOUNT</w:t>
            </w:r>
          </w:p>
        </w:tc>
        <w:tc>
          <w:tcPr/>
          <w:p>
            <w:pPr>
              <w:pStyle w:val="Compact"/>
              <w:jc w:val="left"/>
            </w:pPr>
            <w:r>
              <w:t xml:space="preserve">2,301,600</w:t>
            </w:r>
          </w:p>
        </w:tc>
        <w:tc>
          <w:tcPr/>
          <w:p>
            <w:pPr>
              <w:pStyle w:val="Compact"/>
              <w:jc w:val="left"/>
            </w:pPr>
            <w:r>
              <w:t xml:space="preserve">RUB (Russian Rubles)</w:t>
            </w:r>
          </w:p>
        </w:tc>
      </w:tr>
    </w:tbl>
    <w:bookmarkEnd w:id="22"/>
    <w:bookmarkStart w:id="23" w:name="terms-and-conditions"/>
    <w:p>
      <w:pPr>
        <w:pStyle w:val="Heading2"/>
      </w:pPr>
      <w:r>
        <w:t xml:space="preserve">4. Terms and Conditions</w:t>
      </w:r>
    </w:p>
    <w:p>
      <w:pPr>
        <w:numPr>
          <w:ilvl w:val="0"/>
          <w:numId w:val="1002"/>
        </w:numPr>
        <w:pStyle w:val="Compact"/>
      </w:pPr>
      <w:r>
        <w:t xml:space="preserve">This Quotation Estimate is valid for a period of ninety (90) calendar days from the date of issue. Any request for services beyond this validity period will require a revised Quotation Estimate reflecting current market rates and availability of the assigned Industrial Engineer.</w:t>
      </w:r>
    </w:p>
    <w:p>
      <w:pPr>
        <w:numPr>
          <w:ilvl w:val="0"/>
          <w:numId w:val="1002"/>
        </w:numPr>
        <w:pStyle w:val="Compact"/>
      </w:pPr>
      <w:r>
        <w:t xml:space="preserve">All services described herein shall be performed in accordance with the professional standards of the Russian Union of Industrial Engineers and applicable federal regulations governing industrial operations in Russia Saint Petersburg.</w:t>
      </w:r>
    </w:p>
    <w:p>
      <w:pPr>
        <w:numPr>
          <w:ilvl w:val="0"/>
          <w:numId w:val="1002"/>
        </w:numPr>
        <w:pStyle w:val="Compact"/>
      </w:pPr>
      <w:r>
        <w:t xml:space="preserve">The client agrees to provide the Industrial Engineer with full access to all relevant production areas, operational data, and personnel necessary to complete the scope of work. Failure to provide timely access may result in schedule extensions without additional cost to the contractor.</w:t>
      </w:r>
    </w:p>
    <w:p>
      <w:pPr>
        <w:numPr>
          <w:ilvl w:val="0"/>
          <w:numId w:val="1002"/>
        </w:numPr>
        <w:pStyle w:val="Compact"/>
      </w:pPr>
      <w:r>
        <w:t xml:space="preserve">Intellectual property generated during the course of this engagement, including but not limited to process maps, layout designs, capacity models, and training materials, shall become the sole property of Baltic Manufacturing Group JSC upon full payment of the total Quotation Estimate amount.</w:t>
      </w:r>
    </w:p>
    <w:p>
      <w:pPr>
        <w:numPr>
          <w:ilvl w:val="0"/>
          <w:numId w:val="1002"/>
        </w:numPr>
        <w:pStyle w:val="Compact"/>
      </w:pPr>
      <w:r>
        <w:t xml:space="preserve">Confidentiality: The Industrial Engineer and all supporting personnel shall be bound by a Non-Disclosure Agreement (NDA) executed prior to commencement of work. All operational data, proprietary processes, and client information shall be treated as strictly confidential.</w:t>
      </w:r>
    </w:p>
    <w:p>
      <w:pPr>
        <w:numPr>
          <w:ilvl w:val="0"/>
          <w:numId w:val="1002"/>
        </w:numPr>
        <w:pStyle w:val="Compact"/>
      </w:pPr>
      <w:r>
        <w:t xml:space="preserve">Force Majeure: Neither party shall be held liable for delays or non-performance resulting from events beyond reasonable control, including but not limited to natural disasters, government-mandated shutdowns, or sanctions-related disruptions affecting operations in Russia Saint Petersburg.</w:t>
      </w:r>
    </w:p>
    <w:p>
      <w:pPr>
        <w:numPr>
          <w:ilvl w:val="0"/>
          <w:numId w:val="1002"/>
        </w:numPr>
        <w:pStyle w:val="Compact"/>
      </w:pPr>
      <w:r>
        <w:t xml:space="preserve">Dispute resolution shall be governed by the laws of the Russian Federation. Any disputes arising from this Quotation Estimate shall be submitted to the Arbitration Court of Saint Petersburg and Leningrad Oblast for resolution.</w:t>
      </w:r>
    </w:p>
    <w:bookmarkEnd w:id="23"/>
    <w:bookmarkStart w:id="24" w:name="payment-terms"/>
    <w:p>
      <w:pPr>
        <w:pStyle w:val="Heading2"/>
      </w:pPr>
      <w:r>
        <w:t xml:space="preserve">5. Payment Terms</w:t>
      </w:r>
    </w:p>
    <w:p>
      <w:pPr>
        <w:pStyle w:val="FirstParagraph"/>
      </w:pPr>
      <w:r>
        <w:rPr>
          <w:bCs/>
          <w:b/>
        </w:rPr>
        <w:t xml:space="preserve">Payment Schedule:</w:t>
      </w:r>
    </w:p>
    <w:p>
      <w:pPr>
        <w:numPr>
          <w:ilvl w:val="0"/>
          <w:numId w:val="1003"/>
        </w:numPr>
        <w:pStyle w:val="Compact"/>
      </w:pPr>
      <w:r>
        <w:t xml:space="preserve">30% advance payment (RUB 690,480) – due within 10 business days of contract signature.</w:t>
      </w:r>
    </w:p>
    <w:p>
      <w:pPr>
        <w:numPr>
          <w:ilvl w:val="0"/>
          <w:numId w:val="1003"/>
        </w:numPr>
        <w:pStyle w:val="Compact"/>
      </w:pPr>
      <w:r>
        <w:t xml:space="preserve">40% milestone payment (RUB 920,640) – due upon delivery of the Lean Manufacturing Framework and Layout Redesign deliverables.</w:t>
      </w:r>
    </w:p>
    <w:p>
      <w:pPr>
        <w:numPr>
          <w:ilvl w:val="0"/>
          <w:numId w:val="1003"/>
        </w:numPr>
        <w:pStyle w:val="Compact"/>
      </w:pPr>
      <w:r>
        <w:t xml:space="preserve">30% final payment (RUB 690,480) – due within 15 business days of acceptance of the Final Project Report.</w:t>
      </w:r>
    </w:p>
    <w:p>
      <w:pPr>
        <w:pStyle w:val="FirstParagraph"/>
      </w:pPr>
      <w:r>
        <w:rPr>
          <w:bCs/>
          <w:b/>
        </w:rPr>
        <w:t xml:space="preserve">Payment Method:</w:t>
      </w:r>
      <w:r>
        <w:t xml:space="preserve"> </w:t>
      </w:r>
      <w:r>
        <w:t xml:space="preserve">Bank transfer to Petrograd Engineering Solutions LLC, Sberbank, Account No. 40702810XXXXXXXX, BIC: SABRRU32, Saint Petersburg branch.</w:t>
      </w:r>
    </w:p>
    <w:p>
      <w:pPr>
        <w:pStyle w:val="BodyText"/>
      </w:pPr>
      <w:r>
        <w:rPr>
          <w:bCs/>
          <w:b/>
        </w:rPr>
        <w:t xml:space="preserve">Penalty for Late Payment:</w:t>
      </w:r>
      <w:r>
        <w:t xml:space="preserve"> </w:t>
      </w:r>
      <w:r>
        <w:t xml:space="preserve">0.1% per calendar day on outstanding amounts, capped at 10% of the total Quotation Estimate value.</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that this Quotation Estimate constitutes a binding offer and acceptance for the Industrial Engineer services described herein, to be executed at the client's facility in Russia Saint Petersburg. This document, together with the attached Statement of Work (SOW) and NDA, forms the complete contractual agreement between the parties.</w:t>
      </w:r>
    </w:p>
    <w:p>
      <w:pPr>
        <w:pStyle w:val="BodyText"/>
      </w:pPr>
      <w:r>
        <w:rPr>
          <w:bCs/>
          <w:b/>
        </w:rPr>
        <w:t xml:space="preserve">For Petrograd Engineering Solutions LLC:</w:t>
      </w:r>
    </w:p>
    <w:p>
      <w:pPr>
        <w:pStyle w:val="BodyText"/>
      </w:pPr>
      <w:r>
        <w:t xml:space="preserve">V. A. Kuznetsov – Senior Industrial Engineer / Authorized Signatory</w:t>
      </w:r>
    </w:p>
    <w:p>
      <w:pPr>
        <w:pStyle w:val="BodyText"/>
      </w:pPr>
      <w:r>
        <w:t xml:space="preserve">Date: ____________________</w:t>
      </w:r>
    </w:p>
    <w:p>
      <w:pPr>
        <w:pStyle w:val="BodyText"/>
      </w:pPr>
      <w:r>
        <w:rPr>
          <w:bCs/>
          <w:b/>
        </w:rPr>
        <w:t xml:space="preserve">For Baltic Manufacturing Group JSC:</w:t>
      </w:r>
    </w:p>
    <w:p>
      <w:pPr>
        <w:pStyle w:val="BodyText"/>
      </w:pPr>
      <w:r>
        <w:t xml:space="preserve">D. S. Volkov – Chief Operations Officer / Authorized Signatory</w:t>
      </w:r>
    </w:p>
    <w:p>
      <w:pPr>
        <w:pStyle w:val="BodyText"/>
      </w:pPr>
      <w:r>
        <w:t xml:space="preserve">Date: ____________________</w:t>
      </w:r>
    </w:p>
    <w:p>
      <w:pPr>
        <w:pStyle w:val="BodyText"/>
      </w:pPr>
      <w:r>
        <w:t xml:space="preserve">Petrograd Engineering Solutions LLC | OGRN 1187847001234 | INN 7805123456 | Saint Petersburg, Russia</w:t>
      </w:r>
    </w:p>
    <w:p>
      <w:pPr>
        <w:pStyle w:val="BodyText"/>
      </w:pPr>
      <w:r>
        <w:t xml:space="preserve">This Quotation Estimate document is generated electronically and is valid without a physical stamp. Document ID: QE-SPB-2025-0417-v1.0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Russia Saint Petersburg</dc:title>
  <dc:creator/>
  <dc:language>en</dc:language>
  <cp:keywords/>
  <dcterms:created xsi:type="dcterms:W3CDTF">2026-10-10T03:53:09Z</dcterms:created>
  <dcterms:modified xsi:type="dcterms:W3CDTF">2026-10-10T03:53:09Z</dcterms:modified>
</cp:coreProperties>
</file>

<file path=docProps/custom.xml><?xml version="1.0" encoding="utf-8"?>
<Properties xmlns="http://schemas.openxmlformats.org/officeDocument/2006/custom-properties" xmlns:vt="http://schemas.openxmlformats.org/officeDocument/2006/docPropsVTypes"/>
</file>