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quotation-estimate"/>
    <w:p>
      <w:pPr>
        <w:pStyle w:val="Heading1"/>
      </w:pPr>
      <w:r>
        <w:t xml:space="preserve">QUOTATION ESTIMATE</w:t>
      </w:r>
    </w:p>
    <w:p>
      <w:pPr>
        <w:pStyle w:val="FirstParagraph"/>
      </w:pPr>
      <w:r>
        <w:rPr>
          <w:bCs/>
          <w:b/>
        </w:rPr>
        <w:t xml:space="preserve">OptiFlow Industrial Engineering Solutions (Pty) Ltd</w:t>
      </w:r>
    </w:p>
    <w:p>
      <w:pPr>
        <w:pStyle w:val="BodyText"/>
      </w:pPr>
      <w:r>
        <w:t xml:space="preserve">142 Main Road, Woodstock, Cape Town, 7925, South Africa</w:t>
      </w:r>
    </w:p>
    <w:p>
      <w:pPr>
        <w:pStyle w:val="BodyText"/>
      </w:pPr>
      <w:r>
        <w:t xml:space="preserve">Tel: +27 21 447 8832 | Email: quotations@optiflow.co.za</w:t>
      </w:r>
    </w:p>
    <w:p>
      <w:pPr>
        <w:pStyle w:val="BodyText"/>
      </w:pPr>
      <w:r>
        <w:t xml:space="preserve">VAT Registration No: 4930 287615 | Company Reg: 2019/456789/07</w:t>
      </w:r>
    </w:p>
    <w:bookmarkEnd w:id="20"/>
    <w:p>
      <w:pPr>
        <w:pStyle w:val="BodyText"/>
      </w:pPr>
      <w:r>
        <w:rPr>
          <w:bCs/>
          <w:b/>
        </w:rPr>
        <w:t xml:space="preserve">Quotation No:</w:t>
      </w:r>
      <w:r>
        <w:t xml:space="preserve"> </w:t>
      </w:r>
      <w:r>
        <w:t xml:space="preserve">QTE-2025-0487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Client:</w:t>
      </w:r>
      <w:r>
        <w:t xml:space="preserve"> </w:t>
      </w:r>
      <w:r>
        <w:t xml:space="preserve">Atlantic Manufacturing Group (Pty) Ltd</w:t>
      </w:r>
      <w:r>
        <w:br/>
      </w:r>
      <w:r>
        <w:rPr>
          <w:bCs/>
          <w:b/>
        </w:rPr>
        <w:t xml:space="preserve">Address:</w:t>
      </w:r>
      <w:r>
        <w:t xml:space="preserve"> </w:t>
      </w:r>
      <w:r>
        <w:t xml:space="preserve">8 Harbour Road, Milnerton, Cape Town, 7566</w:t>
      </w:r>
      <w:r>
        <w:br/>
      </w:r>
      <w:r>
        <w:rPr>
          <w:bCs/>
          <w:b/>
        </w:rPr>
        <w:t xml:space="preserve">Contact:</w:t>
      </w:r>
      <w:r>
        <w:t xml:space="preserve"> </w:t>
      </w:r>
      <w:r>
        <w:t xml:space="preserve">Mr. J. van der Merwe – Operations Director</w:t>
      </w:r>
      <w:r>
        <w:br/>
      </w:r>
      <w:r>
        <w:rPr>
          <w:bCs/>
          <w:b/>
        </w:rPr>
        <w:t xml:space="preserve">Reference:</w:t>
      </w:r>
      <w:r>
        <w:t xml:space="preserve"> </w:t>
      </w:r>
      <w:r>
        <w:t xml:space="preserve">AMG-OPS-2025-019</w:t>
      </w:r>
    </w:p>
    <w:bookmarkStart w:id="21" w:name="X42addfb98c3f9386f39b4e9a88d7051d3f6f633"/>
    <w:p>
      <w:pPr>
        <w:pStyle w:val="Heading2"/>
      </w:pPr>
      <w:r>
        <w:t xml:space="preserve">1. Scope of Services – Industrial Engineer Consultancy</w:t>
      </w:r>
    </w:p>
    <w:p>
      <w:pPr>
        <w:pStyle w:val="FirstParagraph"/>
      </w:pPr>
      <w:r>
        <w:t xml:space="preserve">This</w:t>
      </w:r>
      <w:r>
        <w:t xml:space="preserve"> </w:t>
      </w:r>
      <w:r>
        <w:t xml:space="preserve">Quotation Estimate</w:t>
      </w:r>
      <w:r>
        <w:t xml:space="preserve"> </w:t>
      </w:r>
      <w:r>
        <w:t xml:space="preserve">is issued by OptiFlow Industrial Engineering Solutions (Pty) Ltd in response to the formal request from Atlantic Manufacturing Group for the engagement of a qualified</w:t>
      </w:r>
      <w:r>
        <w:t xml:space="preserve"> </w:t>
      </w:r>
      <w:r>
        <w:t xml:space="preserve">Industrial Engineer</w:t>
      </w:r>
      <w:r>
        <w:t xml:space="preserve"> </w:t>
      </w:r>
      <w:r>
        <w:t xml:space="preserve">to conduct a comprehensive operational efficiency review, process optimisation, and production line redesign at the client's manufacturing facility located in Milnerton,</w:t>
      </w:r>
      <w:r>
        <w:t xml:space="preserve"> </w:t>
      </w:r>
      <w:r>
        <w:t xml:space="preserve">South Africa Cape Town</w:t>
      </w:r>
      <w:r>
        <w:t xml:space="preserve">. The services outlined below are tailored to the specific operational challenges identified during the initial site assessment conducted on 28 May 2025.</w:t>
      </w:r>
    </w:p>
    <w:p>
      <w:pPr>
        <w:pStyle w:val="BodyText"/>
      </w:pPr>
      <w:r>
        <w:t xml:space="preserve">The appointed</w:t>
      </w:r>
      <w:r>
        <w:t xml:space="preserve"> </w:t>
      </w:r>
      <w:r>
        <w:t xml:space="preserve">Industrial Engineer</w:t>
      </w:r>
      <w:r>
        <w:t xml:space="preserve">, Mr. Thabo Nkosi (BEng Industrial Engineering, MSc Operations Research, EITSA Registered), will lead a multidisciplinary team of three (3) junior engineers and two (2) data analysts over a period of twelve (12) weeks. The project will be executed in accordance with the South African National Standards (SANS) for industrial safety and the guidelines set forth by the Engineering Council of South Africa (ECSA).</w:t>
      </w:r>
    </w:p>
    <w:bookmarkEnd w:id="21"/>
    <w:bookmarkStart w:id="22" w:name="detailed-line-items-and-cost-breakdown"/>
    <w:p>
      <w:pPr>
        <w:pStyle w:val="Heading2"/>
      </w:pPr>
      <w:r>
        <w:t xml:space="preserve">2. Detailed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(ZAR)</w:t>
            </w:r>
          </w:p>
        </w:tc>
        <w:tc>
          <w:tcPr/>
          <w:p>
            <w:pPr>
              <w:pStyle w:val="Compact"/>
              <w:jc w:val="left"/>
            </w:pPr>
            <w:r>
              <w:t xml:space="preserve">Amount (ZAR)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Initial site survey, time-motion study, and value stream mapping of all production lines at the Milnerton facility,</w:t>
            </w:r>
            <w:r>
              <w:t xml:space="preserve"> </w:t>
            </w:r>
            <w:r>
              <w:t xml:space="preserve">South Africa Cape Town</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c>
          <w:tcPr/>
          <w:p>
            <w:pPr>
              <w:pStyle w:val="Compact"/>
              <w:jc w:val="left"/>
            </w:pPr>
            <w:r>
              <w:t xml:space="preserve">Week 1–2</w:t>
            </w:r>
          </w:p>
        </w:tc>
      </w:tr>
      <w:tr>
        <w:tc>
          <w:tcPr/>
          <w:p>
            <w:pPr>
              <w:pStyle w:val="Compact"/>
              <w:jc w:val="left"/>
            </w:pPr>
            <w:r>
              <w:t xml:space="preserve">02</w:t>
            </w:r>
          </w:p>
        </w:tc>
        <w:tc>
          <w:tcPr/>
          <w:p>
            <w:pPr>
              <w:pStyle w:val="Compact"/>
              <w:jc w:val="left"/>
            </w:pPr>
            <w:r>
              <w:t xml:space="preserve">Process bottleneck analysis and capacity modelling using discrete-event simulation software (AnyLogic / Arena)</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Week 3–4</w:t>
            </w:r>
          </w:p>
        </w:tc>
      </w:tr>
      <w:tr>
        <w:tc>
          <w:tcPr/>
          <w:p>
            <w:pPr>
              <w:pStyle w:val="Compact"/>
              <w:jc w:val="left"/>
            </w:pPr>
            <w:r>
              <w:t xml:space="preserve">03</w:t>
            </w:r>
          </w:p>
        </w:tc>
        <w:tc>
          <w:tcPr/>
          <w:p>
            <w:pPr>
              <w:pStyle w:val="Compact"/>
              <w:jc w:val="left"/>
            </w:pPr>
            <w:r>
              <w:t xml:space="preserve">Redesign of assembly line layout incorporating lean manufacturing principles (5S, Kanban, SMED) and ergonomic assessments per SANS 10087</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Week 5–7</w:t>
            </w:r>
          </w:p>
        </w:tc>
      </w:tr>
      <w:tr>
        <w:tc>
          <w:tcPr/>
          <w:p>
            <w:pPr>
              <w:pStyle w:val="Compact"/>
              <w:jc w:val="left"/>
            </w:pPr>
            <w:r>
              <w:t xml:space="preserve">04</w:t>
            </w:r>
          </w:p>
        </w:tc>
        <w:tc>
          <w:tcPr/>
          <w:p>
            <w:pPr>
              <w:pStyle w:val="Compact"/>
              <w:jc w:val="left"/>
            </w:pPr>
            <w:r>
              <w:t xml:space="preserve">Development of Standard Operating Procedures (SOPs), work instructions, and quality control checklists for all re-engineered processes</w:t>
            </w:r>
          </w:p>
        </w:tc>
        <w:tc>
          <w:tcPr/>
          <w:p>
            <w:pPr>
              <w:pStyle w:val="Compact"/>
              <w:jc w:val="left"/>
            </w:pPr>
            <w:r>
              <w:t xml:space="preserve">1</w:t>
            </w:r>
          </w:p>
        </w:tc>
        <w:tc>
          <w:tcPr/>
          <w:p>
            <w:pPr>
              <w:pStyle w:val="Compact"/>
              <w:jc w:val="left"/>
            </w:pPr>
            <w:r>
              <w:t xml:space="preserve">38,750.00</w:t>
            </w:r>
          </w:p>
        </w:tc>
        <w:tc>
          <w:tcPr/>
          <w:p>
            <w:pPr>
              <w:pStyle w:val="Compact"/>
              <w:jc w:val="left"/>
            </w:pPr>
            <w:r>
              <w:t xml:space="preserve">38,750.00</w:t>
            </w:r>
          </w:p>
        </w:tc>
        <w:tc>
          <w:tcPr/>
          <w:p>
            <w:pPr>
              <w:pStyle w:val="Compact"/>
              <w:jc w:val="left"/>
            </w:pPr>
            <w:r>
              <w:t xml:space="preserve">Week 8–9</w:t>
            </w:r>
          </w:p>
        </w:tc>
      </w:tr>
      <w:tr>
        <w:tc>
          <w:tcPr/>
          <w:p>
            <w:pPr>
              <w:pStyle w:val="Compact"/>
              <w:jc w:val="left"/>
            </w:pPr>
            <w:r>
              <w:t xml:space="preserve">05</w:t>
            </w:r>
          </w:p>
        </w:tc>
        <w:tc>
          <w:tcPr/>
          <w:p>
            <w:pPr>
              <w:pStyle w:val="Compact"/>
              <w:jc w:val="left"/>
            </w:pPr>
            <w:r>
              <w:t xml:space="preserve">Training and upskilling of 45 production floor staff on new workflows, lean tools, and safety protocols (delivered on-site in Cape Town)</w:t>
            </w:r>
          </w:p>
        </w:tc>
        <w:tc>
          <w:tcPr/>
          <w:p>
            <w:pPr>
              <w:pStyle w:val="Compact"/>
              <w:jc w:val="left"/>
            </w:pPr>
            <w:r>
              <w:t xml:space="preserve">45</w:t>
            </w:r>
          </w:p>
        </w:tc>
        <w:tc>
          <w:tcPr/>
          <w:p>
            <w:pPr>
              <w:pStyle w:val="Compact"/>
              <w:jc w:val="left"/>
            </w:pPr>
            <w:r>
              <w:t xml:space="preserve">1,850.00</w:t>
            </w:r>
          </w:p>
        </w:tc>
        <w:tc>
          <w:tcPr/>
          <w:p>
            <w:pPr>
              <w:pStyle w:val="Compact"/>
              <w:jc w:val="left"/>
            </w:pPr>
            <w:r>
              <w:t xml:space="preserve">83,250.00</w:t>
            </w:r>
          </w:p>
        </w:tc>
        <w:tc>
          <w:tcPr/>
          <w:p>
            <w:pPr>
              <w:pStyle w:val="Compact"/>
              <w:jc w:val="left"/>
            </w:pPr>
            <w:r>
              <w:t xml:space="preserve">Week 10–11</w:t>
            </w:r>
          </w:p>
        </w:tc>
      </w:tr>
      <w:tr>
        <w:tc>
          <w:tcPr/>
          <w:p>
            <w:pPr>
              <w:pStyle w:val="Compact"/>
              <w:jc w:val="left"/>
            </w:pPr>
            <w:r>
              <w:t xml:space="preserve">06</w:t>
            </w:r>
          </w:p>
        </w:tc>
        <w:tc>
          <w:tcPr/>
          <w:p>
            <w:pPr>
              <w:pStyle w:val="Compact"/>
              <w:jc w:val="left"/>
            </w:pPr>
            <w:r>
              <w:t xml:space="preserve">Pilot implementation, performance monitoring, and KPI tracking (OEE, throughput, defect rate, cycle time) over a two-week trial period</w:t>
            </w:r>
          </w:p>
        </w:tc>
        <w:tc>
          <w:tcPr/>
          <w:p>
            <w:pPr>
              <w:pStyle w:val="Compact"/>
              <w:jc w:val="left"/>
            </w:pPr>
            <w:r>
              <w:t xml:space="preserve">1</w:t>
            </w:r>
          </w:p>
        </w:tc>
        <w:tc>
          <w:tcPr/>
          <w:p>
            <w:pPr>
              <w:pStyle w:val="Compact"/>
              <w:jc w:val="left"/>
            </w:pPr>
            <w:r>
              <w:t xml:space="preserve">54,000.00</w:t>
            </w:r>
          </w:p>
        </w:tc>
        <w:tc>
          <w:tcPr/>
          <w:p>
            <w:pPr>
              <w:pStyle w:val="Compact"/>
              <w:jc w:val="left"/>
            </w:pPr>
            <w:r>
              <w:t xml:space="preserve">54,000.00</w:t>
            </w:r>
          </w:p>
        </w:tc>
        <w:tc>
          <w:tcPr/>
          <w:p>
            <w:pPr>
              <w:pStyle w:val="Compact"/>
              <w:jc w:val="left"/>
            </w:pPr>
            <w:r>
              <w:t xml:space="preserve">Week 11–12</w:t>
            </w:r>
          </w:p>
        </w:tc>
      </w:tr>
      <w:tr>
        <w:tc>
          <w:tcPr/>
          <w:p>
            <w:pPr>
              <w:pStyle w:val="Compact"/>
              <w:jc w:val="left"/>
            </w:pPr>
            <w:r>
              <w:t xml:space="preserve">07</w:t>
            </w:r>
          </w:p>
        </w:tc>
        <w:tc>
          <w:tcPr/>
          <w:p>
            <w:pPr>
              <w:pStyle w:val="Compact"/>
              <w:jc w:val="left"/>
            </w:pPr>
            <w:r>
              <w:t xml:space="preserve">Final project report, executive presentation to board, and 90-day post-implementation support (remote and on-site visits to Cape Town)</w:t>
            </w:r>
          </w:p>
        </w:tc>
        <w:tc>
          <w:tcPr/>
          <w:p>
            <w:pPr>
              <w:pStyle w:val="Compact"/>
              <w:jc w:val="left"/>
            </w:pPr>
            <w:r>
              <w:t xml:space="preserve">1</w:t>
            </w:r>
          </w:p>
        </w:tc>
        <w:tc>
          <w:tcPr/>
          <w:p>
            <w:pPr>
              <w:pStyle w:val="Compact"/>
              <w:jc w:val="left"/>
            </w:pPr>
            <w:r>
              <w:t xml:space="preserve">42,500.00</w:t>
            </w:r>
          </w:p>
        </w:tc>
        <w:tc>
          <w:tcPr/>
          <w:p>
            <w:pPr>
              <w:pStyle w:val="Compact"/>
              <w:jc w:val="left"/>
            </w:pPr>
            <w:r>
              <w:t xml:space="preserve">42,500.00</w:t>
            </w:r>
          </w:p>
        </w:tc>
        <w:tc>
          <w:tcPr/>
          <w:p>
            <w:pPr>
              <w:pStyle w:val="Compact"/>
              <w:jc w:val="left"/>
            </w:pPr>
            <w:r>
              <w:t xml:space="preserve">Week 12 + 90 days</w:t>
            </w:r>
          </w:p>
        </w:tc>
      </w:tr>
      <w:tr>
        <w:tc>
          <w:tcPr/>
          <w:p>
            <w:pPr>
              <w:pStyle w:val="Compact"/>
              <w:jc w:val="left"/>
            </w:pPr>
            <w:r>
              <w:t xml:space="preserve">08</w:t>
            </w:r>
          </w:p>
        </w:tc>
        <w:tc>
          <w:tcPr/>
          <w:p>
            <w:pPr>
              <w:pStyle w:val="Compact"/>
              <w:jc w:val="left"/>
            </w:pPr>
            <w:r>
              <w:t xml:space="preserve">Travel, accommodation, and local transport for the</w:t>
            </w:r>
            <w:r>
              <w:t xml:space="preserve"> </w:t>
            </w:r>
            <w:r>
              <w:t xml:space="preserve">Industrial Engineer</w:t>
            </w:r>
            <w:r>
              <w:t xml:space="preserve"> </w:t>
            </w:r>
            <w:r>
              <w:t xml:space="preserve">team within the Cape Town metropolitan area</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c>
          <w:tcPr/>
          <w:p>
            <w:pPr>
              <w:pStyle w:val="Compact"/>
              <w:jc w:val="left"/>
            </w:pPr>
            <w:r>
              <w:t xml:space="preserve">Week 1–12</w:t>
            </w:r>
          </w:p>
        </w:tc>
      </w:tr>
      <w:tr>
        <w:tc>
          <w:tcPr/>
          <w:p>
            <w:pPr>
              <w:pStyle w:val="Compact"/>
              <w:jc w:val="left"/>
            </w:pPr>
            <w:r>
              <w:t xml:space="preserve">09</w:t>
            </w:r>
          </w:p>
        </w:tc>
        <w:tc>
          <w:tcPr/>
          <w:p>
            <w:pPr>
              <w:pStyle w:val="Compact"/>
              <w:jc w:val="left"/>
            </w:pPr>
            <w:r>
              <w:t xml:space="preserve">Licence fees for simulation software and data analytics tools (project duration)</w:t>
            </w:r>
          </w:p>
        </w:tc>
        <w:tc>
          <w:tcPr/>
          <w:p>
            <w:pPr>
              <w:pStyle w:val="Compact"/>
              <w:jc w:val="left"/>
            </w:pPr>
            <w:r>
              <w:t xml:space="preserve">1</w:t>
            </w:r>
          </w:p>
        </w:tc>
        <w:tc>
          <w:tcPr/>
          <w:p>
            <w:pPr>
              <w:pStyle w:val="Compact"/>
              <w:jc w:val="left"/>
            </w:pPr>
            <w:r>
              <w:t xml:space="preserve">18,600.00</w:t>
            </w:r>
          </w:p>
        </w:tc>
        <w:tc>
          <w:tcPr/>
          <w:p>
            <w:pPr>
              <w:pStyle w:val="Compact"/>
              <w:jc w:val="left"/>
            </w:pPr>
            <w:r>
              <w:t xml:space="preserve">18,600.00</w:t>
            </w:r>
          </w:p>
        </w:tc>
        <w:tc>
          <w:tcPr/>
          <w:p>
            <w:pPr>
              <w:pStyle w:val="Compact"/>
              <w:jc w:val="left"/>
            </w:pPr>
            <w:r>
              <w:t xml:space="preserve">Week 1–12</w:t>
            </w:r>
          </w:p>
        </w:tc>
      </w:tr>
      <w:tr>
        <w:tc>
          <w:tcPr/>
          <w:p>
            <w:pPr>
              <w:pStyle w:val="Compact"/>
              <w:jc w:val="left"/>
            </w:pPr>
            <w:r>
              <w:t xml:space="preserve">10</w:t>
            </w:r>
          </w:p>
        </w:tc>
        <w:tc>
          <w:tcPr/>
          <w:p>
            <w:pPr>
              <w:pStyle w:val="Compact"/>
              <w:jc w:val="left"/>
            </w:pPr>
            <w:r>
              <w:t xml:space="preserve">Project management, client liaison, and administrative overheads</w:t>
            </w:r>
          </w:p>
        </w:tc>
        <w:tc>
          <w:tcPr/>
          <w:p>
            <w:pPr>
              <w:pStyle w:val="Compact"/>
              <w:jc w:val="left"/>
            </w:pPr>
            <w:r>
              <w:t xml:space="preserve">1</w:t>
            </w:r>
          </w:p>
        </w:tc>
        <w:tc>
          <w:tcPr/>
          <w:p>
            <w:pPr>
              <w:pStyle w:val="Compact"/>
              <w:jc w:val="left"/>
            </w:pPr>
            <w:r>
              <w:t xml:space="preserve">27,000.00</w:t>
            </w:r>
          </w:p>
        </w:tc>
        <w:tc>
          <w:tcPr/>
          <w:p>
            <w:pPr>
              <w:pStyle w:val="Compact"/>
              <w:jc w:val="left"/>
            </w:pPr>
            <w:r>
              <w:t xml:space="preserve">27,000.00</w:t>
            </w:r>
          </w:p>
        </w:tc>
        <w:tc>
          <w:tcPr/>
          <w:p>
            <w:pPr>
              <w:pStyle w:val="Compact"/>
              <w:jc w:val="left"/>
            </w:pPr>
            <w:r>
              <w:t xml:space="preserve">Week 1–12</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rPr>
                <w:bCs/>
                <w:b/>
              </w:rPr>
              <w:t xml:space="preserve">Subtotal (excl. VAT)</w:t>
            </w:r>
          </w:p>
        </w:tc>
        <w:tc>
          <w:tcPr/>
          <w:p>
            <w:pPr>
              <w:pStyle w:val="Compact"/>
              <w:jc w:val="right"/>
            </w:pPr>
            <w:r>
              <w:rPr>
                <w:bCs/>
                <w:b/>
              </w:rPr>
              <w:t xml:space="preserve">R 498,000.00</w:t>
            </w:r>
          </w:p>
        </w:tc>
      </w:tr>
      <w:tr>
        <w:tc>
          <w:tcPr/>
          <w:p>
            <w:pPr>
              <w:pStyle w:val="Compact"/>
              <w:jc w:val="right"/>
            </w:pPr>
            <w:r>
              <w:t xml:space="preserve">VAT @ 15% (South Africa)</w:t>
            </w:r>
          </w:p>
        </w:tc>
        <w:tc>
          <w:tcPr/>
          <w:p>
            <w:pPr>
              <w:pStyle w:val="Compact"/>
              <w:jc w:val="right"/>
            </w:pPr>
            <w:r>
              <w:t xml:space="preserve">R 74,700.00</w:t>
            </w:r>
          </w:p>
        </w:tc>
      </w:tr>
      <w:tr>
        <w:tc>
          <w:tcPr/>
          <w:p>
            <w:pPr>
              <w:pStyle w:val="Compact"/>
              <w:jc w:val="right"/>
            </w:pPr>
            <w:r>
              <w:t xml:space="preserve">TOTAL AMOUNT DUE (incl. VAT)</w:t>
            </w:r>
          </w:p>
        </w:tc>
        <w:tc>
          <w:tcPr/>
          <w:p>
            <w:pPr>
              <w:pStyle w:val="Compact"/>
              <w:jc w:val="right"/>
            </w:pPr>
            <w:r>
              <w:t xml:space="preserve">R 572,700.00</w:t>
            </w:r>
          </w:p>
        </w:tc>
      </w:tr>
    </w:tbl>
    <w:p>
      <w:pPr>
        <w:pStyle w:val="BodyText"/>
      </w:pPr>
      <w:r>
        <w:t xml:space="preserve">All amounts are quoted in South African Rand (ZAR). VAT is calculated at the current South African rate of 15% as per the South African Revenue Service (SARS) regulations applicable in</w:t>
      </w:r>
      <w:r>
        <w:t xml:space="preserve"> </w:t>
      </w:r>
      <w:r>
        <w:t xml:space="preserve">South Africa Cape Town</w:t>
      </w:r>
      <w:r>
        <w:t xml:space="preserve">.</w:t>
      </w:r>
    </w:p>
    <w:bookmarkEnd w:id="22"/>
    <w:bookmarkStart w:id="23" w:name="payment-terms"/>
    <w:p>
      <w:pPr>
        <w:pStyle w:val="Heading2"/>
      </w:pPr>
      <w:r>
        <w:t xml:space="preserve">3. Payment Terms</w:t>
      </w:r>
    </w:p>
    <w:p>
      <w:pPr>
        <w:numPr>
          <w:ilvl w:val="0"/>
          <w:numId w:val="1001"/>
        </w:numPr>
        <w:pStyle w:val="Compact"/>
      </w:pPr>
      <w:r>
        <w:rPr>
          <w:bCs/>
          <w:b/>
        </w:rPr>
        <w:t xml:space="preserve">30% deposit</w:t>
      </w:r>
      <w:r>
        <w:t xml:space="preserve"> </w:t>
      </w:r>
      <w:r>
        <w:t xml:space="preserve">(R 171,810.00) due upon acceptance of this</w:t>
      </w:r>
      <w:r>
        <w:t xml:space="preserve"> </w:t>
      </w:r>
      <w:r>
        <w:t xml:space="preserve">Quotation Estimate</w:t>
      </w:r>
      <w:r>
        <w:t xml:space="preserve"> </w:t>
      </w:r>
      <w:r>
        <w:t xml:space="preserve">and signing of the service agreement.</w:t>
      </w:r>
    </w:p>
    <w:p>
      <w:pPr>
        <w:numPr>
          <w:ilvl w:val="0"/>
          <w:numId w:val="1001"/>
        </w:numPr>
        <w:pStyle w:val="Compact"/>
      </w:pPr>
      <w:r>
        <w:rPr>
          <w:bCs/>
          <w:b/>
        </w:rPr>
        <w:t xml:space="preserve">40% progress payment</w:t>
      </w:r>
      <w:r>
        <w:t xml:space="preserve"> </w:t>
      </w:r>
      <w:r>
        <w:t xml:space="preserve">(R 229,080.00) due upon completion of Week 7 (end of line redesign phase).</w:t>
      </w:r>
    </w:p>
    <w:p>
      <w:pPr>
        <w:numPr>
          <w:ilvl w:val="0"/>
          <w:numId w:val="1001"/>
        </w:numPr>
        <w:pStyle w:val="Compact"/>
      </w:pPr>
      <w:r>
        <w:rPr>
          <w:bCs/>
          <w:b/>
        </w:rPr>
        <w:t xml:space="preserve">30% final payment</w:t>
      </w:r>
      <w:r>
        <w:t xml:space="preserve"> </w:t>
      </w:r>
      <w:r>
        <w:t xml:space="preserve">(R 171,810.00) due upon delivery of the final project report and acceptance by the client's Operations Director.</w:t>
      </w:r>
    </w:p>
    <w:p>
      <w:pPr>
        <w:numPr>
          <w:ilvl w:val="0"/>
          <w:numId w:val="1001"/>
        </w:numPr>
        <w:pStyle w:val="Compact"/>
      </w:pPr>
      <w:r>
        <w:t xml:space="preserve">All payments to be made via electronic funds transfer (EFT) to the account details provided on the invoice. Late payments will attract interest at the rate of 1.5% per month as per the National Credit Act (NCA) of South Africa.</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the expiry date, pricing may be revised to reflect market conditions, exchange rate fluctuations, or changes in the South African cost of living index.</w:t>
      </w:r>
    </w:p>
    <w:p>
      <w:pPr>
        <w:numPr>
          <w:ilvl w:val="0"/>
          <w:numId w:val="1002"/>
        </w:numPr>
        <w:pStyle w:val="Compact"/>
      </w:pPr>
      <w:r>
        <w:t xml:space="preserve">The</w:t>
      </w:r>
      <w:r>
        <w:t xml:space="preserve"> </w:t>
      </w:r>
      <w:r>
        <w:t xml:space="preserve">Industrial Engineer</w:t>
      </w:r>
      <w:r>
        <w:t xml:space="preserve"> </w:t>
      </w:r>
      <w:r>
        <w:t xml:space="preserve">and support team shall comply with all occupational health and safety regulations (OHS Act 85 of 1993) while on the client's premises in Cape Town.</w:t>
      </w:r>
    </w:p>
    <w:p>
      <w:pPr>
        <w:numPr>
          <w:ilvl w:val="0"/>
          <w:numId w:val="1002"/>
        </w:numPr>
        <w:pStyle w:val="Compact"/>
      </w:pPr>
      <w:r>
        <w:t xml:space="preserve">The client shall provide safe access to all production areas, relevant as-built drawings, historical production data, and a dedicated project liaison officer for the duration of the engagement.</w:t>
      </w:r>
    </w:p>
    <w:p>
      <w:pPr>
        <w:numPr>
          <w:ilvl w:val="0"/>
          <w:numId w:val="1002"/>
        </w:numPr>
        <w:pStyle w:val="Compact"/>
      </w:pPr>
      <w:r>
        <w:t xml:space="preserve">All intellectual property, reports, and deliverables produced under this engagement shall become the property of the client upon full payment. OptiFlow retains the right to reference the project (anonymised) in future marketing materials with prior written consent.</w:t>
      </w:r>
    </w:p>
    <w:p>
      <w:pPr>
        <w:numPr>
          <w:ilvl w:val="0"/>
          <w:numId w:val="1002"/>
        </w:numPr>
        <w:pStyle w:val="Compact"/>
      </w:pPr>
      <w:r>
        <w:t xml:space="preserve">Any scope changes or additional work requested by the client beyond the original specification will be subject to a separate</w:t>
      </w:r>
      <w:r>
        <w:t xml:space="preserve"> </w:t>
      </w:r>
      <w:r>
        <w:t xml:space="preserve">Quotation Estimate</w:t>
      </w:r>
      <w:r>
        <w:t xml:space="preserve"> </w:t>
      </w:r>
      <w:r>
        <w:t xml:space="preserve">and written approval before commencement.</w:t>
      </w:r>
    </w:p>
    <w:p>
      <w:pPr>
        <w:numPr>
          <w:ilvl w:val="0"/>
          <w:numId w:val="1002"/>
        </w:numPr>
        <w:pStyle w:val="Compact"/>
      </w:pPr>
      <w:r>
        <w:t xml:space="preserve">This engagement is governed by the laws of the Republic of South Africa. Any disputes shall be resolved through arbitration in Cape Town in accordance with the rules of the Arbitration Foundation of South Africa (AFSA).</w:t>
      </w:r>
    </w:p>
    <w:p>
      <w:pPr>
        <w:numPr>
          <w:ilvl w:val="0"/>
          <w:numId w:val="1002"/>
        </w:numPr>
        <w:pStyle w:val="Compact"/>
      </w:pPr>
      <w:r>
        <w:t xml:space="preserve">OptiFlow Industrial Engineering Solutions (Pty) Ltd shall maintain professional indemnity insurance of no less than R 5,000,000 and public liability insurance of R 2,000,000 throughout the project period.</w:t>
      </w:r>
    </w:p>
    <w:bookmarkEnd w:id="24"/>
    <w:bookmarkStart w:id="25" w:name="acceptance-and-authorisation"/>
    <w:p>
      <w:pPr>
        <w:pStyle w:val="Heading2"/>
      </w:pPr>
      <w:r>
        <w:t xml:space="preserve">5. Acceptance and Authorisation</w:t>
      </w:r>
    </w:p>
    <w:p>
      <w:pPr>
        <w:pStyle w:val="FirstParagraph"/>
      </w:pPr>
      <w:r>
        <w:t xml:space="preserve">By signing below, the client acknowledges and accepts the terms, conditions, scope of work, and pricing set out in this</w:t>
      </w:r>
      <w:r>
        <w:t xml:space="preserve"> </w:t>
      </w:r>
      <w:r>
        <w:t xml:space="preserve">Quotation Estimate</w:t>
      </w:r>
      <w:r>
        <w:t xml:space="preserve"> </w:t>
      </w:r>
      <w:r>
        <w:t xml:space="preserve">for the engagement of the</w:t>
      </w:r>
      <w:r>
        <w:t xml:space="preserve"> </w:t>
      </w:r>
      <w:r>
        <w:t xml:space="preserve">Industrial Engineer</w:t>
      </w:r>
      <w:r>
        <w:t xml:space="preserve"> </w:t>
      </w:r>
      <w:r>
        <w:t xml:space="preserve">services in</w:t>
      </w:r>
      <w:r>
        <w:t xml:space="preserve"> </w:t>
      </w:r>
      <w:r>
        <w:t xml:space="preserve">South Africa Cape Town</w:t>
      </w:r>
      <w:r>
        <w:t xml:space="preserve">.</w:t>
      </w:r>
    </w:p>
    <w:p>
      <w:pPr>
        <w:pStyle w:val="BodyText"/>
      </w:pPr>
      <w:r>
        <w:rPr>
          <w:bCs/>
          <w:b/>
        </w:rPr>
        <w:t xml:space="preserve">For and on behalf of the Client:</w:t>
      </w:r>
    </w:p>
    <w:p>
      <w:pPr>
        <w:pStyle w:val="BodyText"/>
      </w:pPr>
      <w:r>
        <w:t xml:space="preserve">Atlantic Manufacturing Group (Pty) Ltd</w:t>
      </w:r>
    </w:p>
    <w:p>
      <w:pPr>
        <w:pStyle w:val="BodyText"/>
      </w:pP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the Service Provider:</w:t>
      </w:r>
    </w:p>
    <w:p>
      <w:pPr>
        <w:pStyle w:val="BodyText"/>
      </w:pPr>
      <w:r>
        <w:t xml:space="preserve">OptiFlow Industrial Engineering Solutions (Pty) Ltd</w:t>
      </w:r>
    </w:p>
    <w:p>
      <w:pPr>
        <w:pStyle w:val="BodyText"/>
      </w:pPr>
      <w:r>
        <w:t xml:space="preserve">Name: Thabo Nkosi, EITSA</w:t>
      </w:r>
      <w:r>
        <w:br/>
      </w:r>
      <w:r>
        <w:t xml:space="preserve">Designation: Lead Industrial Engineer / Director</w:t>
      </w:r>
      <w:r>
        <w:br/>
      </w:r>
      <w:r>
        <w:t xml:space="preserve">Signature: ______________________________</w:t>
      </w:r>
      <w:r>
        <w:br/>
      </w:r>
      <w:r>
        <w:t xml:space="preserve">Date: ______________________________</w:t>
      </w:r>
    </w:p>
    <w:p>
      <w:pPr>
        <w:pStyle w:val="BodyText"/>
      </w:pPr>
      <w:r>
        <w:t xml:space="preserve">OptiFlow Industrial Engineering Solutions (Pty) Ltd | 142 Main Road, Woodstock, Cape Town, 7925, South Africa</w:t>
      </w:r>
      <w:r>
        <w:br/>
      </w:r>
      <w:r>
        <w:t xml:space="preserve">This Quotation Estimate is a confidential document intended solely for the named recipient. Unauthorised reproduction or distribution is prohibited.</w:t>
      </w:r>
      <w:r>
        <w:br/>
      </w:r>
      <w:r>
        <w:t xml:space="preserve">Document Ref: QTE-2025-0487 | Generated: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South Africa Cape Town</dc:title>
  <dc:creator/>
  <dc:language>en</dc:language>
  <cp:keywords/>
  <dcterms:created xsi:type="dcterms:W3CDTF">2026-10-10T02:06:17Z</dcterms:created>
  <dcterms:modified xsi:type="dcterms:W3CDTF">2026-10-10T02:06:17Z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