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quotation-estimate"/>
    <w:p>
      <w:pPr>
        <w:pStyle w:val="Heading1"/>
      </w:pPr>
      <w:r>
        <w:t xml:space="preserve">QUOTATION ESTIMATE</w:t>
      </w:r>
    </w:p>
    <w:p>
      <w:pPr>
        <w:pStyle w:val="FirstParagraph"/>
      </w:pPr>
      <w:r>
        <w:rPr>
          <w:bCs/>
          <w:b/>
        </w:rPr>
        <w:t xml:space="preserve">Meridian Industrial Consulting Ltd.</w:t>
      </w:r>
    </w:p>
    <w:p>
      <w:pPr>
        <w:pStyle w:val="BodyText"/>
      </w:pPr>
      <w:r>
        <w:t xml:space="preserve">42 Levent Avenue, Maslak 34450, Istanbul, Turkey</w:t>
      </w:r>
    </w:p>
    <w:p>
      <w:pPr>
        <w:pStyle w:val="BodyText"/>
      </w:pPr>
      <w:r>
        <w:t xml:space="preserve">Tel: +90 212 555 0147  |  Email: estimates@meridianindustrial.com.tr</w:t>
      </w:r>
    </w:p>
    <w:p>
      <w:pPr>
        <w:pStyle w:val="BodyText"/>
      </w:pPr>
      <w:r>
        <w:t xml:space="preserve">Tax ID (VKN): 1234567890</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QEST-2025-IST-0047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w:t>
            </w:r>
          </w:p>
        </w:tc>
        <w:tc>
          <w:tcPr/>
          <w:p>
            <w:pPr>
              <w:pStyle w:val="Compact"/>
              <w:jc w:val="left"/>
            </w:pPr>
            <w:r>
              <w:t xml:space="preserve">Yildiz Manufacturing Group A.S., Atakoy Industrial Zone, 34770 Istanbul, Turkey</w:t>
            </w:r>
          </w:p>
        </w:tc>
      </w:tr>
      <w:tr>
        <w:tc>
          <w:tcPr/>
          <w:p>
            <w:pPr>
              <w:pStyle w:val="Compact"/>
              <w:jc w:val="left"/>
            </w:pPr>
            <w:r>
              <w:t xml:space="preserve">Project Location</w:t>
            </w:r>
          </w:p>
        </w:tc>
        <w:tc>
          <w:tcPr/>
          <w:p>
            <w:pPr>
              <w:pStyle w:val="Compact"/>
              <w:jc w:val="left"/>
            </w:pPr>
            <w:r>
              <w:t xml:space="preserve">Atakoy Industrial Zone, Istanbul, Turkey</w:t>
            </w:r>
          </w:p>
        </w:tc>
      </w:tr>
      <w:tr>
        <w:tc>
          <w:tcPr/>
          <w:p>
            <w:pPr>
              <w:pStyle w:val="Compact"/>
              <w:jc w:val="left"/>
            </w:pPr>
            <w:r>
              <w:t xml:space="preserve">Prepared By</w:t>
            </w:r>
          </w:p>
        </w:tc>
        <w:tc>
          <w:tcPr/>
          <w:p>
            <w:pPr>
              <w:pStyle w:val="Compact"/>
              <w:jc w:val="left"/>
            </w:pPr>
            <w:r>
              <w:t xml:space="preserve">Eng. Selin Kaya, Senior Industrial Engineer</w:t>
            </w:r>
          </w:p>
        </w:tc>
      </w:tr>
      <w:tr>
        <w:tc>
          <w:tcPr/>
          <w:p>
            <w:pPr>
              <w:pStyle w:val="Compact"/>
              <w:jc w:val="left"/>
            </w:pPr>
            <w:r>
              <w:t xml:space="preserve">Currency</w:t>
            </w:r>
          </w:p>
        </w:tc>
        <w:tc>
          <w:tcPr/>
          <w:p>
            <w:pPr>
              <w:pStyle w:val="Compact"/>
              <w:jc w:val="left"/>
            </w:pPr>
            <w:r>
              <w:t xml:space="preserve">USD (United States Dollar)</w:t>
            </w:r>
          </w:p>
        </w:tc>
      </w:tr>
    </w:tbl>
    <w:bookmarkStart w:id="21" w:name="X0c7581080508d578c26b6d8dfd726c7e3ca5cc9"/>
    <w:p>
      <w:pPr>
        <w:pStyle w:val="Heading2"/>
      </w:pPr>
      <w:r>
        <w:t xml:space="preserve">1. Purpose and Scope of This Quotation Estimate</w:t>
      </w:r>
    </w:p>
    <w:p>
      <w:pPr>
        <w:pStyle w:val="FirstParagraph"/>
      </w:pPr>
      <w:r>
        <w:t xml:space="preserve">This Quotation Estimate is issued by Meridian Industrial Consulting Ltd. to Yildiz Manufacturing Group A.S. in response to the client's formal request for a comprehensive Industrial Engineer engagement. The scope of work described herein covers the full spectrum of industrial engineering services to be delivered on-site and remotely within the Turkey Istanbul metropolitan area, specifically at the client's production facility located in the Atakoy Industrial Zone. This Quotation Estimate outlines all professional fees, travel allowances, material costs, and applicable taxes associated with the proposed Industrial Engineer services.</w:t>
      </w:r>
    </w:p>
    <w:bookmarkEnd w:id="21"/>
    <w:bookmarkStart w:id="22" w:name="Xbe8145aaee9c98c452ba3de3669d0a56350682c"/>
    <w:p>
      <w:pPr>
        <w:pStyle w:val="Heading2"/>
      </w:pPr>
      <w:r>
        <w:t xml:space="preserve">2. Detailed Scope of Industrial Engineer Services</w:t>
      </w:r>
    </w:p>
    <w:p>
      <w:pPr>
        <w:pStyle w:val="FirstParagraph"/>
      </w:pPr>
      <w:r>
        <w:t xml:space="preserve">The Industrial Engineer assigned to this project will operate under the direct supervision of the client's Operations Director and will report weekly progress to the project steering committee. The following services constitute the complete scope of this Quotation Estimate: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Initial site assessment and process mapping of all production lines at the Atakoy facility, Turkey Istanbul</w:t>
            </w:r>
          </w:p>
        </w:tc>
        <w:tc>
          <w:tcPr/>
          <w:p>
            <w:pPr>
              <w:pStyle w:val="Compact"/>
              <w:jc w:val="left"/>
            </w:pPr>
            <w:r>
              <w:t xml:space="preserve">10 working days</w:t>
            </w:r>
          </w:p>
        </w:tc>
        <w:tc>
          <w:tcPr/>
          <w:p>
            <w:pPr>
              <w:pStyle w:val="Compact"/>
              <w:jc w:val="left"/>
            </w:pPr>
            <w:r>
              <w:t xml:space="preserve">1,200 / day</w:t>
            </w:r>
          </w:p>
        </w:tc>
        <w:tc>
          <w:tcPr/>
          <w:p>
            <w:pPr>
              <w:pStyle w:val="Compact"/>
              <w:jc w:val="left"/>
            </w:pPr>
            <w:r>
              <w:t xml:space="preserve">12,000.00</w:t>
            </w:r>
          </w:p>
        </w:tc>
        <w:tc>
          <w:tcPr/>
          <w:p>
            <w:pPr>
              <w:pStyle w:val="Compact"/>
              <w:jc w:val="left"/>
            </w:pPr>
            <w:r>
              <w:t xml:space="preserve">Includes time-motion studies and value-stream mapping</w:t>
            </w:r>
          </w:p>
        </w:tc>
      </w:tr>
      <w:tr>
        <w:tc>
          <w:tcPr/>
          <w:p>
            <w:pPr>
              <w:pStyle w:val="Compact"/>
              <w:jc w:val="left"/>
            </w:pPr>
            <w:r>
              <w:t xml:space="preserve">2</w:t>
            </w:r>
          </w:p>
        </w:tc>
        <w:tc>
          <w:tcPr/>
          <w:p>
            <w:pPr>
              <w:pStyle w:val="Compact"/>
              <w:jc w:val="left"/>
            </w:pPr>
            <w:r>
              <w:t xml:space="preserve">Workstation ergonomics audit and human-factors redesign for 45 operator stations</w:t>
            </w:r>
          </w:p>
        </w:tc>
        <w:tc>
          <w:tcPr/>
          <w:p>
            <w:pPr>
              <w:pStyle w:val="Compact"/>
              <w:jc w:val="left"/>
            </w:pPr>
            <w:r>
              <w:t xml:space="preserve">15 working days</w:t>
            </w:r>
          </w:p>
        </w:tc>
        <w:tc>
          <w:tcPr/>
          <w:p>
            <w:pPr>
              <w:pStyle w:val="Compact"/>
              <w:jc w:val="left"/>
            </w:pPr>
            <w:r>
              <w:t xml:space="preserve">1,200 / day</w:t>
            </w:r>
          </w:p>
        </w:tc>
        <w:tc>
          <w:tcPr/>
          <w:p>
            <w:pPr>
              <w:pStyle w:val="Compact"/>
              <w:jc w:val="left"/>
            </w:pPr>
            <w:r>
              <w:t xml:space="preserve">18,000.00</w:t>
            </w:r>
          </w:p>
        </w:tc>
        <w:tc>
          <w:tcPr/>
          <w:p>
            <w:pPr>
              <w:pStyle w:val="Compact"/>
              <w:jc w:val="left"/>
            </w:pPr>
            <w:r>
              <w:t xml:space="preserve">Compliant with Turkish OHS regulations (6331 Law)</w:t>
            </w:r>
          </w:p>
        </w:tc>
      </w:tr>
      <w:tr>
        <w:tc>
          <w:tcPr/>
          <w:p>
            <w:pPr>
              <w:pStyle w:val="Compact"/>
              <w:jc w:val="left"/>
            </w:pPr>
            <w:r>
              <w:t xml:space="preserve">3</w:t>
            </w:r>
          </w:p>
        </w:tc>
        <w:tc>
          <w:tcPr/>
          <w:p>
            <w:pPr>
              <w:pStyle w:val="Compact"/>
              <w:jc w:val="left"/>
            </w:pPr>
            <w:r>
              <w:t xml:space="preserve">Production line balancing and bottleneck elimination using simulation software (FlexSim / AnyLogic)</w:t>
            </w:r>
          </w:p>
        </w:tc>
        <w:tc>
          <w:tcPr/>
          <w:p>
            <w:pPr>
              <w:pStyle w:val="Compact"/>
              <w:jc w:val="left"/>
            </w:pPr>
            <w:r>
              <w:t xml:space="preserve">20 working days</w:t>
            </w:r>
          </w:p>
        </w:tc>
        <w:tc>
          <w:tcPr/>
          <w:p>
            <w:pPr>
              <w:pStyle w:val="Compact"/>
              <w:jc w:val="left"/>
            </w:pPr>
            <w:r>
              <w:t xml:space="preserve">1,400 / day</w:t>
            </w:r>
          </w:p>
        </w:tc>
        <w:tc>
          <w:tcPr/>
          <w:p>
            <w:pPr>
              <w:pStyle w:val="Compact"/>
              <w:jc w:val="left"/>
            </w:pPr>
            <w:r>
              <w:t xml:space="preserve">28,000.00</w:t>
            </w:r>
          </w:p>
        </w:tc>
        <w:tc>
          <w:tcPr/>
          <w:p>
            <w:pPr>
              <w:pStyle w:val="Compact"/>
              <w:jc w:val="left"/>
            </w:pPr>
            <w:r>
              <w:t xml:space="preserve">Includes 3 simulation model iterations</w:t>
            </w:r>
          </w:p>
        </w:tc>
      </w:tr>
      <w:tr>
        <w:tc>
          <w:tcPr/>
          <w:p>
            <w:pPr>
              <w:pStyle w:val="Compact"/>
              <w:jc w:val="left"/>
            </w:pPr>
            <w:r>
              <w:t xml:space="preserve">4</w:t>
            </w:r>
          </w:p>
        </w:tc>
        <w:tc>
          <w:tcPr/>
          <w:p>
            <w:pPr>
              <w:pStyle w:val="Compact"/>
              <w:jc w:val="left"/>
            </w:pPr>
            <w:r>
              <w:t xml:space="preserve">Lean Manufacturing implementation plan (5S, Kaizen, SMED, Kanban) for the assembly division</w:t>
            </w:r>
          </w:p>
        </w:tc>
        <w:tc>
          <w:tcPr/>
          <w:p>
            <w:pPr>
              <w:pStyle w:val="Compact"/>
              <w:jc w:val="left"/>
            </w:pPr>
            <w:r>
              <w:t xml:space="preserve">25 working days</w:t>
            </w:r>
          </w:p>
        </w:tc>
        <w:tc>
          <w:tcPr/>
          <w:p>
            <w:pPr>
              <w:pStyle w:val="Compact"/>
              <w:jc w:val="left"/>
            </w:pPr>
            <w:r>
              <w:t xml:space="preserve">1,400 / day</w:t>
            </w:r>
          </w:p>
        </w:tc>
        <w:tc>
          <w:tcPr/>
          <w:p>
            <w:pPr>
              <w:pStyle w:val="Compact"/>
              <w:jc w:val="left"/>
            </w:pPr>
            <w:r>
              <w:t xml:space="preserve">35,000.00</w:t>
            </w:r>
          </w:p>
        </w:tc>
        <w:tc>
          <w:tcPr/>
          <w:p>
            <w:pPr>
              <w:pStyle w:val="Compact"/>
              <w:jc w:val="left"/>
            </w:pPr>
            <w:r>
              <w:t xml:space="preserve">Deliverable: 120-page implementation roadmap</w:t>
            </w:r>
          </w:p>
        </w:tc>
      </w:tr>
      <w:tr>
        <w:tc>
          <w:tcPr/>
          <w:p>
            <w:pPr>
              <w:pStyle w:val="Compact"/>
              <w:jc w:val="left"/>
            </w:pPr>
            <w:r>
              <w:t xml:space="preserve">5</w:t>
            </w:r>
          </w:p>
        </w:tc>
        <w:tc>
          <w:tcPr/>
          <w:p>
            <w:pPr>
              <w:pStyle w:val="Compact"/>
              <w:jc w:val="left"/>
            </w:pPr>
            <w:r>
              <w:t xml:space="preserve">Quality control system design and SPC (Statistical Process Control) integration</w:t>
            </w:r>
          </w:p>
        </w:tc>
        <w:tc>
          <w:tcPr/>
          <w:p>
            <w:pPr>
              <w:pStyle w:val="Compact"/>
              <w:jc w:val="left"/>
            </w:pPr>
            <w:r>
              <w:t xml:space="preserve">15 working days</w:t>
            </w:r>
          </w:p>
        </w:tc>
        <w:tc>
          <w:tcPr/>
          <w:p>
            <w:pPr>
              <w:pStyle w:val="Compact"/>
              <w:jc w:val="left"/>
            </w:pPr>
            <w:r>
              <w:t xml:space="preserve">1,400 / day</w:t>
            </w:r>
          </w:p>
        </w:tc>
        <w:tc>
          <w:tcPr/>
          <w:p>
            <w:pPr>
              <w:pStyle w:val="Compact"/>
              <w:jc w:val="left"/>
            </w:pPr>
            <w:r>
              <w:t xml:space="preserve">21,000.00</w:t>
            </w:r>
          </w:p>
        </w:tc>
        <w:tc>
          <w:tcPr/>
          <w:p>
            <w:pPr>
              <w:pStyle w:val="Compact"/>
              <w:jc w:val="left"/>
            </w:pPr>
            <w:r>
              <w:t xml:space="preserve">Includes training for 30 quality technicians</w:t>
            </w:r>
          </w:p>
        </w:tc>
      </w:tr>
      <w:tr>
        <w:tc>
          <w:tcPr/>
          <w:p>
            <w:pPr>
              <w:pStyle w:val="Compact"/>
              <w:jc w:val="left"/>
            </w:pPr>
            <w:r>
              <w:t xml:space="preserve">6</w:t>
            </w:r>
          </w:p>
        </w:tc>
        <w:tc>
          <w:tcPr/>
          <w:p>
            <w:pPr>
              <w:pStyle w:val="Compact"/>
              <w:jc w:val="left"/>
            </w:pPr>
            <w:r>
              <w:t xml:space="preserve">Supply chain and warehouse layout optimization within the Turkey Istanbul logistics corridor</w:t>
            </w:r>
          </w:p>
        </w:tc>
        <w:tc>
          <w:tcPr/>
          <w:p>
            <w:pPr>
              <w:pStyle w:val="Compact"/>
              <w:jc w:val="left"/>
            </w:pPr>
            <w:r>
              <w:t xml:space="preserve">12 working days</w:t>
            </w:r>
          </w:p>
        </w:tc>
        <w:tc>
          <w:tcPr/>
          <w:p>
            <w:pPr>
              <w:pStyle w:val="Compact"/>
              <w:jc w:val="left"/>
            </w:pPr>
            <w:r>
              <w:t xml:space="preserve">1,300 / day</w:t>
            </w:r>
          </w:p>
        </w:tc>
        <w:tc>
          <w:tcPr/>
          <w:p>
            <w:pPr>
              <w:pStyle w:val="Compact"/>
              <w:jc w:val="left"/>
            </w:pPr>
            <w:r>
              <w:t xml:space="preserve">15,600.00</w:t>
            </w:r>
          </w:p>
        </w:tc>
        <w:tc>
          <w:tcPr/>
          <w:p>
            <w:pPr>
              <w:pStyle w:val="Compact"/>
              <w:jc w:val="left"/>
            </w:pPr>
            <w:r>
              <w:t xml:space="preserve">On-site visits to 3 partner warehouses in Istanbul</w:t>
            </w:r>
          </w:p>
        </w:tc>
      </w:tr>
      <w:tr>
        <w:tc>
          <w:tcPr/>
          <w:p>
            <w:pPr>
              <w:pStyle w:val="Compact"/>
              <w:jc w:val="left"/>
            </w:pPr>
            <w:r>
              <w:t xml:space="preserve">7</w:t>
            </w:r>
          </w:p>
        </w:tc>
        <w:tc>
          <w:tcPr/>
          <w:p>
            <w:pPr>
              <w:pStyle w:val="Compact"/>
              <w:jc w:val="left"/>
            </w:pPr>
            <w:r>
              <w:t xml:space="preserve">Final reporting, management presentation, and 30-day post-implementation support</w:t>
            </w:r>
          </w:p>
        </w:tc>
        <w:tc>
          <w:tcPr/>
          <w:p>
            <w:pPr>
              <w:pStyle w:val="Compact"/>
              <w:jc w:val="left"/>
            </w:pPr>
            <w:r>
              <w:t xml:space="preserve">10 working days</w:t>
            </w:r>
          </w:p>
        </w:tc>
        <w:tc>
          <w:tcPr/>
          <w:p>
            <w:pPr>
              <w:pStyle w:val="Compact"/>
              <w:jc w:val="left"/>
            </w:pPr>
            <w:r>
              <w:t xml:space="preserve">1,500 / day</w:t>
            </w:r>
          </w:p>
        </w:tc>
        <w:tc>
          <w:tcPr/>
          <w:p>
            <w:pPr>
              <w:pStyle w:val="Compact"/>
              <w:jc w:val="left"/>
            </w:pPr>
            <w:r>
              <w:t xml:space="preserve">15,000.00</w:t>
            </w:r>
          </w:p>
        </w:tc>
        <w:tc>
          <w:tcPr/>
          <w:p>
            <w:pPr>
              <w:pStyle w:val="Compact"/>
              <w:jc w:val="left"/>
            </w:pPr>
            <w:r>
              <w:t xml:space="preserve">Includes executive summary in Turkish and English</w:t>
            </w:r>
          </w:p>
        </w:tc>
      </w:tr>
    </w:tbl>
    <w:bookmarkEnd w:id="22"/>
    <w:bookmarkStart w:id="23" w:name="additional-costs-and-allowances"/>
    <w:p>
      <w:pPr>
        <w:pStyle w:val="Heading2"/>
      </w:pPr>
      <w:r>
        <w:t xml:space="preserve">3. Additional Costs and Allowances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w:t>
            </w:r>
          </w:p>
        </w:tc>
        <w:tc>
          <w:tcPr/>
          <w:p>
            <w:pPr>
              <w:pStyle w:val="Compact"/>
              <w:jc w:val="left"/>
            </w:pPr>
            <w:r>
              <w:t xml:space="preserve">Item</w:t>
            </w:r>
          </w:p>
        </w:tc>
        <w:tc>
          <w:tcPr/>
          <w:p>
            <w:pPr>
              <w:pStyle w:val="Compact"/>
              <w:jc w:val="left"/>
            </w:pPr>
            <w:r>
              <w:t xml:space="preserve">Amount (USD)</w:t>
            </w:r>
          </w:p>
        </w:tc>
        <w:tc>
          <w:tcPr/>
          <w:p>
            <w:pPr>
              <w:pStyle w:val="Compact"/>
              <w:jc w:val="left"/>
            </w:pPr>
            <w:r>
              <w:t xml:space="preserve">Description</w:t>
            </w:r>
          </w:p>
        </w:tc>
      </w:tr>
      <w:tr>
        <w:tc>
          <w:tcPr/>
          <w:p>
            <w:pPr>
              <w:pStyle w:val="Compact"/>
              <w:jc w:val="left"/>
            </w:pPr>
            <w:r>
              <w:t xml:space="preserve">A</w:t>
            </w:r>
          </w:p>
        </w:tc>
        <w:tc>
          <w:tcPr/>
          <w:p>
            <w:pPr>
              <w:pStyle w:val="Compact"/>
              <w:jc w:val="left"/>
            </w:pPr>
            <w:r>
              <w:t xml:space="preserve">Local travel and transportation within Turkey Istanbul</w:t>
            </w:r>
          </w:p>
        </w:tc>
        <w:tc>
          <w:tcPr/>
          <w:p>
            <w:pPr>
              <w:pStyle w:val="Compact"/>
              <w:jc w:val="left"/>
            </w:pPr>
            <w:r>
              <w:t xml:space="preserve">2,400.00</w:t>
            </w:r>
          </w:p>
        </w:tc>
        <w:tc>
          <w:tcPr/>
          <w:p>
            <w:pPr>
              <w:pStyle w:val="Compact"/>
              <w:jc w:val="left"/>
            </w:pPr>
            <w:r>
              <w:t xml:space="preserve">Round-trip transfers, inter-district commuting, and parking for the 117-day engagement</w:t>
            </w:r>
          </w:p>
        </w:tc>
      </w:tr>
      <w:tr>
        <w:tc>
          <w:tcPr/>
          <w:p>
            <w:pPr>
              <w:pStyle w:val="Compact"/>
              <w:jc w:val="left"/>
            </w:pPr>
            <w:r>
              <w:t xml:space="preserve">B</w:t>
            </w:r>
          </w:p>
        </w:tc>
        <w:tc>
          <w:tcPr/>
          <w:p>
            <w:pPr>
              <w:pStyle w:val="Compact"/>
              <w:jc w:val="left"/>
            </w:pPr>
            <w:r>
              <w:t xml:space="preserve">Accommodation (if required for extended on-site phases)</w:t>
            </w:r>
          </w:p>
        </w:tc>
        <w:tc>
          <w:tcPr/>
          <w:p>
            <w:pPr>
              <w:pStyle w:val="Compact"/>
              <w:jc w:val="left"/>
            </w:pPr>
            <w:r>
              <w:t xml:space="preserve">6,800.00</w:t>
            </w:r>
          </w:p>
        </w:tc>
        <w:tc>
          <w:tcPr/>
          <w:p>
            <w:pPr>
              <w:pStyle w:val="Compact"/>
              <w:jc w:val="left"/>
            </w:pPr>
            <w:r>
              <w:t xml:space="preserve">Business-class hotel, 34 nights at USD 200/night near Atakoy Industrial Zone</w:t>
            </w:r>
          </w:p>
        </w:tc>
      </w:tr>
      <w:tr>
        <w:tc>
          <w:tcPr/>
          <w:p>
            <w:pPr>
              <w:pStyle w:val="Compact"/>
              <w:jc w:val="left"/>
            </w:pPr>
            <w:r>
              <w:t xml:space="preserve">C</w:t>
            </w:r>
          </w:p>
        </w:tc>
        <w:tc>
          <w:tcPr/>
          <w:p>
            <w:pPr>
              <w:pStyle w:val="Compact"/>
              <w:jc w:val="left"/>
            </w:pPr>
            <w:r>
              <w:t xml:space="preserve">Software licenses and simulation tool subscriptions</w:t>
            </w:r>
          </w:p>
        </w:tc>
        <w:tc>
          <w:tcPr/>
          <w:p>
            <w:pPr>
              <w:pStyle w:val="Compact"/>
              <w:jc w:val="left"/>
            </w:pPr>
            <w:r>
              <w:t xml:space="preserve">3,200.00</w:t>
            </w:r>
          </w:p>
        </w:tc>
        <w:tc>
          <w:tcPr/>
          <w:p>
            <w:pPr>
              <w:pStyle w:val="Compact"/>
              <w:jc w:val="left"/>
            </w:pPr>
            <w:r>
              <w:t xml:space="preserve">FlexSim Professional (annual) and AnyLogic Enterprise (project license)</w:t>
            </w:r>
          </w:p>
        </w:tc>
      </w:tr>
      <w:tr>
        <w:tc>
          <w:tcPr/>
          <w:p>
            <w:pPr>
              <w:pStyle w:val="Compact"/>
              <w:jc w:val="left"/>
            </w:pPr>
            <w:r>
              <w:t xml:space="preserve">D</w:t>
            </w:r>
          </w:p>
        </w:tc>
        <w:tc>
          <w:tcPr/>
          <w:p>
            <w:pPr>
              <w:pStyle w:val="Compact"/>
              <w:jc w:val="left"/>
            </w:pPr>
            <w:r>
              <w:t xml:space="preserve">Printing, binding, and reproduction of technical drawings</w:t>
            </w:r>
          </w:p>
        </w:tc>
        <w:tc>
          <w:tcPr/>
          <w:p>
            <w:pPr>
              <w:pStyle w:val="Compact"/>
              <w:jc w:val="left"/>
            </w:pPr>
            <w:r>
              <w:t xml:space="preserve">850.00</w:t>
            </w:r>
          </w:p>
        </w:tc>
        <w:tc>
          <w:tcPr/>
          <w:p>
            <w:pPr>
              <w:pStyle w:val="Compact"/>
              <w:jc w:val="left"/>
            </w:pPr>
            <w:r>
              <w:t xml:space="preserve">A1 and A3 format prints, 200-page bound report, 5 hard copies</w:t>
            </w:r>
          </w:p>
        </w:tc>
      </w:tr>
      <w:tr>
        <w:tc>
          <w:tcPr/>
          <w:p>
            <w:pPr>
              <w:pStyle w:val="Compact"/>
              <w:jc w:val="left"/>
            </w:pPr>
            <w:r>
              <w:t xml:space="preserve">E</w:t>
            </w:r>
          </w:p>
        </w:tc>
        <w:tc>
          <w:tcPr/>
          <w:p>
            <w:pPr>
              <w:pStyle w:val="Compact"/>
              <w:jc w:val="left"/>
            </w:pPr>
            <w:r>
              <w:t xml:space="preserve">Contingency and miscellaneous (5%)</w:t>
            </w:r>
          </w:p>
        </w:tc>
        <w:tc>
          <w:tcPr/>
          <w:p>
            <w:pPr>
              <w:pStyle w:val="Compact"/>
              <w:jc w:val="left"/>
            </w:pPr>
            <w:r>
              <w:t xml:space="preserve">5,242.50</w:t>
            </w:r>
          </w:p>
        </w:tc>
        <w:tc>
          <w:tcPr/>
          <w:p>
            <w:pPr>
              <w:pStyle w:val="Compact"/>
              <w:jc w:val="left"/>
            </w:pPr>
            <w:r>
              <w:t xml:space="preserve">Unforeseen site access fees, additional data collection, overtime</w:t>
            </w:r>
          </w:p>
        </w:tc>
      </w:tr>
    </w:tbl>
    <w:bookmarkEnd w:id="23"/>
    <w:bookmarkStart w:id="24" w:name="financial-summary"/>
    <w:p>
      <w:pPr>
        <w:pStyle w:val="Heading2"/>
      </w:pPr>
      <w:r>
        <w:t xml:space="preserve">4.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(USD)</w:t>
            </w:r>
          </w:p>
        </w:tc>
      </w:tr>
      <w:tr>
        <w:tc>
          <w:tcPr/>
          <w:p>
            <w:pPr>
              <w:pStyle w:val="Compact"/>
              <w:jc w:val="left"/>
            </w:pPr>
            <w:r>
              <w:t xml:space="preserve">Subtotal – Professional Industrial Engineer Services (Items 1–7)</w:t>
            </w:r>
          </w:p>
        </w:tc>
        <w:tc>
          <w:tcPr/>
          <w:p>
            <w:pPr>
              <w:pStyle w:val="Compact"/>
              <w:jc w:val="left"/>
            </w:pPr>
            <w:r>
              <w:t xml:space="preserve">129,600.00</w:t>
            </w:r>
          </w:p>
        </w:tc>
      </w:tr>
      <w:tr>
        <w:tc>
          <w:tcPr/>
          <w:p>
            <w:pPr>
              <w:pStyle w:val="Compact"/>
              <w:jc w:val="left"/>
            </w:pPr>
            <w:r>
              <w:t xml:space="preserve">Subtotal – Additional Costs and Allowances (Items A–E)</w:t>
            </w:r>
          </w:p>
        </w:tc>
        <w:tc>
          <w:tcPr/>
          <w:p>
            <w:pPr>
              <w:pStyle w:val="Compact"/>
              <w:jc w:val="left"/>
            </w:pPr>
            <w:r>
              <w:t xml:space="preserve">18,492.50</w:t>
            </w:r>
          </w:p>
        </w:tc>
      </w:tr>
      <w:tr>
        <w:tc>
          <w:tcPr/>
          <w:p>
            <w:pPr>
              <w:pStyle w:val="Compact"/>
              <w:jc w:val="left"/>
            </w:pPr>
            <w:r>
              <w:rPr>
                <w:bCs/>
                <w:b/>
              </w:rPr>
              <w:t xml:space="preserve">Grand Total (before tax)</w:t>
            </w:r>
          </w:p>
        </w:tc>
        <w:tc>
          <w:tcPr/>
          <w:p>
            <w:pPr>
              <w:pStyle w:val="Compact"/>
              <w:jc w:val="left"/>
            </w:pPr>
            <w:r>
              <w:rPr>
                <w:bCs/>
                <w:b/>
              </w:rPr>
              <w:t xml:space="preserve">148,092.50</w:t>
            </w:r>
          </w:p>
        </w:tc>
      </w:tr>
      <w:tr>
        <w:tc>
          <w:tcPr/>
          <w:p>
            <w:pPr>
              <w:pStyle w:val="Compact"/>
              <w:jc w:val="left"/>
            </w:pPr>
            <w:r>
              <w:t xml:space="preserve">VAT (KDV) – 20% (applicable in Turkey)</w:t>
            </w:r>
          </w:p>
        </w:tc>
        <w:tc>
          <w:tcPr/>
          <w:p>
            <w:pPr>
              <w:pStyle w:val="Compact"/>
              <w:jc w:val="left"/>
            </w:pPr>
            <w:r>
              <w:t xml:space="preserve">29,618.50</w:t>
            </w:r>
          </w:p>
        </w:tc>
      </w:tr>
      <w:tr>
        <w:tc>
          <w:tcPr/>
          <w:p>
            <w:pPr>
              <w:pStyle w:val="Compact"/>
              <w:jc w:val="left"/>
            </w:pPr>
            <w:r>
              <w:rPr>
                <w:bCs/>
                <w:b/>
              </w:rPr>
              <w:t xml:space="preserve">TOTAL AMOUNT DUE (including VAT)</w:t>
            </w:r>
          </w:p>
        </w:tc>
        <w:tc>
          <w:tcPr/>
          <w:p>
            <w:pPr>
              <w:pStyle w:val="Compact"/>
              <w:jc w:val="left"/>
            </w:pPr>
            <w:r>
              <w:rPr>
                <w:bCs/>
                <w:b/>
              </w:rPr>
              <w:t xml:space="preserve">177,711.00</w:t>
            </w:r>
          </w:p>
        </w:tc>
      </w:tr>
    </w:tbl>
    <w:bookmarkEnd w:id="24"/>
    <w:bookmarkStart w:id="25" w:name="payment-terms"/>
    <w:p>
      <w:pPr>
        <w:pStyle w:val="Heading2"/>
      </w:pPr>
      <w:r>
        <w:t xml:space="preserve">5. Payment Terms</w:t>
      </w:r>
    </w:p>
    <w:p>
      <w:pPr>
        <w:pStyle w:val="FirstParagraph"/>
      </w:pPr>
      <w:r>
        <w:t xml:space="preserve">Payment for this Quotation Estimate shall be structured as follows:</w:t>
      </w:r>
    </w:p>
    <w:p>
      <w:pPr>
        <w:numPr>
          <w:ilvl w:val="0"/>
          <w:numId w:val="1001"/>
        </w:numPr>
        <w:pStyle w:val="Compact"/>
      </w:pPr>
      <w:r>
        <w:rPr>
          <w:bCs/>
          <w:b/>
        </w:rPr>
        <w:t xml:space="preserve">30% advance payment</w:t>
      </w:r>
      <w:r>
        <w:t xml:space="preserve"> </w:t>
      </w:r>
      <w:r>
        <w:t xml:space="preserve">(USD 53,313.30) due within 10 business days of contract signature, prior to the commencement of the Industrial Engineer's on-site work in Turkey Istanbul.</w:t>
      </w:r>
    </w:p>
    <w:p>
      <w:pPr>
        <w:numPr>
          <w:ilvl w:val="0"/>
          <w:numId w:val="1001"/>
        </w:numPr>
        <w:pStyle w:val="Compact"/>
      </w:pPr>
      <w:r>
        <w:rPr>
          <w:bCs/>
          <w:b/>
        </w:rPr>
        <w:t xml:space="preserve">40% milestone payment</w:t>
      </w:r>
      <w:r>
        <w:t xml:space="preserve"> </w:t>
      </w:r>
      <w:r>
        <w:t xml:space="preserve">(USD 71,084.40) due upon completion of Items 1 through 4 and delivery of the interim progress report.</w:t>
      </w:r>
    </w:p>
    <w:p>
      <w:pPr>
        <w:numPr>
          <w:ilvl w:val="0"/>
          <w:numId w:val="1001"/>
        </w:numPr>
        <w:pStyle w:val="Compact"/>
      </w:pPr>
      <w:r>
        <w:rPr>
          <w:bCs/>
          <w:b/>
        </w:rPr>
        <w:t xml:space="preserve">30% final payment</w:t>
      </w:r>
      <w:r>
        <w:t xml:space="preserve"> </w:t>
      </w:r>
      <w:r>
        <w:t xml:space="preserve">(USD 53,313.30) due within 15 business days of acceptance of the final deliverables and completion of the 30-day post-implementation support period.</w:t>
      </w:r>
    </w:p>
    <w:p>
      <w:pPr>
        <w:pStyle w:val="FirstParagraph"/>
      </w:pPr>
      <w:r>
        <w:t xml:space="preserve">All payments shall be made via bank transfer to the account of Meridian Industrial Consulting Ltd. at Ziraat Bankasi, Istanbul branch. Late payments shall accrue interest at the rate of 1.5% per month as stipulated under Turkish Commercial Code (TCK) Article 30.</w:t>
      </w:r>
    </w:p>
    <w:bookmarkEnd w:id="25"/>
    <w:bookmarkStart w:id="26" w:name="terms-and-conditions"/>
    <w:p>
      <w:pPr>
        <w:pStyle w:val="Heading2"/>
      </w:pPr>
      <w:r>
        <w:t xml:space="preserve">6. Terms and Conditions</w:t>
      </w:r>
    </w:p>
    <w:p>
      <w:pPr>
        <w:numPr>
          <w:ilvl w:val="0"/>
          <w:numId w:val="1002"/>
        </w:numPr>
        <w:pStyle w:val="Compact"/>
      </w:pPr>
      <w:r>
        <w:t xml:space="preserve">This Quotation Estimate is valid for 30 calendar days from the date of issue. After expiry, all rates and availability must be reconfirmed in writing.</w:t>
      </w:r>
    </w:p>
    <w:p>
      <w:pPr>
        <w:numPr>
          <w:ilvl w:val="0"/>
          <w:numId w:val="1002"/>
        </w:numPr>
        <w:pStyle w:val="Compact"/>
      </w:pPr>
      <w:r>
        <w:t xml:space="preserve">The Industrial Engineer named in this Quotation Estimate (Eng. Selin Kaya) is the designated professional. Substitution requires prior written consent from the client.</w:t>
      </w:r>
    </w:p>
    <w:p>
      <w:pPr>
        <w:numPr>
          <w:ilvl w:val="0"/>
          <w:numId w:val="1002"/>
        </w:numPr>
        <w:pStyle w:val="Compact"/>
      </w:pPr>
      <w:r>
        <w:t xml:space="preserve">All intellectual property, process models, simulation files, and reports generated under this engagement shall become the sole property of Yildiz Manufacturing Group A.S. upon full payment.</w:t>
      </w:r>
    </w:p>
    <w:p>
      <w:pPr>
        <w:numPr>
          <w:ilvl w:val="0"/>
          <w:numId w:val="1002"/>
        </w:numPr>
        <w:pStyle w:val="Compact"/>
      </w:pPr>
      <w:r>
        <w:t xml:space="preserve">Meridian Industrial Consulting Ltd. shall maintain professional liability insurance with a minimum coverage of USD 1,000,000 for the duration of the project in Turkey Istanbul.</w:t>
      </w:r>
    </w:p>
    <w:p>
      <w:pPr>
        <w:numPr>
          <w:ilvl w:val="0"/>
          <w:numId w:val="1002"/>
        </w:numPr>
        <w:pStyle w:val="Compact"/>
      </w:pPr>
      <w:r>
        <w:t xml:space="preserve">Confidentiality: All production data, trade secrets, and operational information accessed during the Industrial Engineer's engagement shall be treated as strictly confidential and shall not be disclosed to any third party without written authorization.</w:t>
      </w:r>
    </w:p>
    <w:p>
      <w:pPr>
        <w:numPr>
          <w:ilvl w:val="0"/>
          <w:numId w:val="1002"/>
        </w:numPr>
        <w:pStyle w:val="Compact"/>
      </w:pPr>
      <w:r>
        <w:t xml:space="preserve">This Quotation Estimate is governed by the laws of the Republic of Turkey. Any disputes shall be resolved by the competent courts in Istanbul, Turkey.</w:t>
      </w:r>
    </w:p>
    <w:p>
      <w:pPr>
        <w:numPr>
          <w:ilvl w:val="0"/>
          <w:numId w:val="1002"/>
        </w:numPr>
        <w:pStyle w:val="Compact"/>
      </w:pPr>
      <w:r>
        <w:t xml:space="preserve">Force majeure events, including but not limited to natural disasters, government-mandated shutdowns, or pandemics affecting the Turkey Istanbul region, shall extend the project timeline proportionally without penalty to either party.</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that this Quotation Estimate constitutes a binding commercial offer and, upon the client's written acceptance, shall form the basis of the service contract for the Industrial Engineer engagement in Turkey Istanbul.</w:t>
      </w:r>
    </w:p>
    <w:p>
      <w:pPr>
        <w:pStyle w:val="BodyText"/>
      </w:pPr>
      <w:r>
        <w:rPr>
          <w:bCs/>
          <w:b/>
        </w:rPr>
        <w:t xml:space="preserve">For Meridian Industrial Consulting Ltd.</w:t>
      </w:r>
    </w:p>
    <w:p>
      <w:pPr>
        <w:pStyle w:val="BodyText"/>
      </w:pPr>
      <w:r>
        <w:t xml:space="preserve">Name: Eng. Selin Kaya</w:t>
      </w:r>
    </w:p>
    <w:p>
      <w:pPr>
        <w:pStyle w:val="BodyText"/>
      </w:pPr>
      <w:r>
        <w:t xml:space="preserve">Title: Senior Industrial Engineer / Project Lead</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Yildiz Manufacturing Group A.S.</w:t>
      </w:r>
    </w:p>
    <w:p>
      <w:pPr>
        <w:pStyle w:val="BodyText"/>
      </w:pPr>
      <w:r>
        <w:t xml:space="preserve">Name: ___________________________</w:t>
      </w:r>
    </w:p>
    <w:p>
      <w:pPr>
        <w:pStyle w:val="BodyText"/>
      </w:pPr>
      <w:r>
        <w:t xml:space="preserve">Title: Operations Director</w:t>
      </w:r>
    </w:p>
    <w:p>
      <w:pPr>
        <w:pStyle w:val="BodyText"/>
      </w:pPr>
      <w:r>
        <w:t xml:space="preserve">Signature: ___________________________</w:t>
      </w:r>
    </w:p>
    <w:p>
      <w:pPr>
        <w:pStyle w:val="BodyText"/>
      </w:pPr>
      <w:r>
        <w:t xml:space="preserve">Date: ___________________________</w:t>
      </w:r>
    </w:p>
    <w:p>
      <w:pPr>
        <w:pStyle w:val="BodyText"/>
      </w:pPr>
      <w:r>
        <w:t xml:space="preserve">Quotation Estimate No. QEST-2025-IST-0047  |  Meridian Industrial Consulting Ltd.  |  Istanbul, Turkey</w:t>
      </w:r>
    </w:p>
    <w:p>
      <w:pPr>
        <w:pStyle w:val="BodyText"/>
      </w:pPr>
      <w:r>
        <w:t xml:space="preserve">This document is electronically generated and does not require a physical stamp to be valid.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Industrial Engineer Services - Turkey Istanbul</dc:title>
  <dc:creator/>
  <dc:language>en</dc:language>
  <cp:keywords/>
  <dcterms:created xsi:type="dcterms:W3CDTF">2026-10-10T01:54:34Z</dcterms:created>
  <dcterms:modified xsi:type="dcterms:W3CDTF">2026-10-10T01:54:34Z</dcterms:modified>
</cp:coreProperties>
</file>

<file path=docProps/custom.xml><?xml version="1.0" encoding="utf-8"?>
<Properties xmlns="http://schemas.openxmlformats.org/officeDocument/2006/custom-properties" xmlns:vt="http://schemas.openxmlformats.org/officeDocument/2006/docPropsVTypes"/>
</file>