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rPr>
          <w:bCs/>
          <w:b/>
        </w:rPr>
        <w:t xml:space="preserve">Apex Industrial Solutions, LLC</w:t>
      </w:r>
    </w:p>
    <w:p>
      <w:pPr>
        <w:pStyle w:val="BodyText"/>
      </w:pPr>
      <w:r>
        <w:t xml:space="preserve">1200 Biscayne Boulevard, Suite 450, Miami, FL 33132, United States Miami</w:t>
      </w:r>
    </w:p>
    <w:p>
      <w:pPr>
        <w:pStyle w:val="BodyText"/>
      </w:pPr>
      <w:r>
        <w:t xml:space="preserve">Phone: (305) 555-0198 | Email: estimates@apexindustrial.com | EIN: 82-4471903</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QTE-2025-MIA-00472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Meridian Manufacturing Group, Inc. – 8450 NW 36th Street, Miami, FL 33166</w:t>
            </w:r>
          </w:p>
        </w:tc>
      </w:tr>
      <w:tr>
        <w:tc>
          <w:tcPr/>
          <w:p>
            <w:pPr>
              <w:pStyle w:val="Compact"/>
              <w:jc w:val="left"/>
            </w:pPr>
            <w:r>
              <w:t xml:space="preserve">Prepared By</w:t>
            </w:r>
          </w:p>
        </w:tc>
        <w:tc>
          <w:tcPr/>
          <w:p>
            <w:pPr>
              <w:pStyle w:val="Compact"/>
              <w:jc w:val="left"/>
            </w:pPr>
            <w:r>
              <w:t xml:space="preserve">Dr. Carlos A. Reyes, P.E. – Senior Industrial Engineer</w:t>
            </w:r>
          </w:p>
        </w:tc>
      </w:tr>
      <w:tr>
        <w:tc>
          <w:tcPr/>
          <w:p>
            <w:pPr>
              <w:pStyle w:val="Compact"/>
              <w:jc w:val="left"/>
            </w:pPr>
            <w:r>
              <w:t xml:space="preserve">Project Location</w:t>
            </w:r>
          </w:p>
        </w:tc>
        <w:tc>
          <w:tcPr/>
          <w:p>
            <w:pPr>
              <w:pStyle w:val="Compact"/>
              <w:jc w:val="left"/>
            </w:pPr>
            <w:r>
              <w:t xml:space="preserve">United States Miami – Dade County Industrial Corridor</w:t>
            </w:r>
          </w:p>
        </w:tc>
      </w:tr>
      <w:tr>
        <w:tc>
          <w:tcPr/>
          <w:p>
            <w:pPr>
              <w:pStyle w:val="Compact"/>
              <w:jc w:val="left"/>
            </w:pPr>
            <w:r>
              <w:t xml:space="preserve">Service Category</w:t>
            </w:r>
          </w:p>
        </w:tc>
        <w:tc>
          <w:tcPr/>
          <w:p>
            <w:pPr>
              <w:pStyle w:val="Compact"/>
              <w:jc w:val="left"/>
            </w:pPr>
            <w:r>
              <w:t xml:space="preserve">Industrial Engineer Consulting &amp; Process Optimization</w:t>
            </w:r>
          </w:p>
        </w:tc>
      </w:tr>
    </w:tbl>
    <w:bookmarkStart w:id="21" w:name="executive-summary"/>
    <w:p>
      <w:pPr>
        <w:pStyle w:val="Heading2"/>
      </w:pPr>
      <w:r>
        <w:t xml:space="preserve">1. Executive Summary</w:t>
      </w:r>
    </w:p>
    <w:p>
      <w:pPr>
        <w:pStyle w:val="FirstParagraph"/>
      </w:pPr>
      <w:r>
        <w:t xml:space="preserve">This</w:t>
      </w:r>
      <w:r>
        <w:t xml:space="preserve"> </w:t>
      </w:r>
      <w:r>
        <w:rPr>
          <w:bCs/>
          <w:b/>
        </w:rPr>
        <w:t xml:space="preserve">Quotation Estimate</w:t>
      </w:r>
      <w:r>
        <w:t xml:space="preserve"> </w:t>
      </w:r>
      <w:r>
        <w:t xml:space="preserve">is issued by Apex Industrial Solutions, LLC in response to the formal request for proposal submitted by Meridian Manufacturing Group, Inc. The scope of work centers on the engagement of a qualified</w:t>
      </w:r>
      <w:r>
        <w:t xml:space="preserve"> </w:t>
      </w:r>
      <w:r>
        <w:rPr>
          <w:bCs/>
          <w:b/>
        </w:rPr>
        <w:t xml:space="preserve">Industrial Engineer</w:t>
      </w:r>
      <w:r>
        <w:t xml:space="preserve"> </w:t>
      </w:r>
      <w:r>
        <w:t xml:space="preserve">to conduct a comprehensive operational audit, workflow redesign, and capacity planning initiative at the client's primary production facility located in</w:t>
      </w:r>
      <w:r>
        <w:t xml:space="preserve"> </w:t>
      </w:r>
      <w:r>
        <w:rPr>
          <w:bCs/>
          <w:b/>
        </w:rPr>
        <w:t xml:space="preserve">United States Miami</w:t>
      </w:r>
      <w:r>
        <w:t xml:space="preserve">. This Quotation Estimate outlines all professional fees, travel expenses, material costs, and applicable taxes associated with the proposed engagement. All pricing reflects current market rates for Industrial Engineer services in the United States Miami metropolitan area as of the date of issue.</w:t>
      </w:r>
    </w:p>
    <w:bookmarkEnd w:id="21"/>
    <w:bookmarkStart w:id="22" w:name="X8c57c687dc87aa36b5ab0887a962870188a1f29"/>
    <w:p>
      <w:pPr>
        <w:pStyle w:val="Heading2"/>
      </w:pPr>
      <w:r>
        <w:t xml:space="preserve">2. Scope of Services – Industrial Engineer Engagement</w:t>
      </w:r>
    </w:p>
    <w:p>
      <w:pPr>
        <w:pStyle w:val="FirstParagraph"/>
      </w:pPr>
      <w:r>
        <w:t xml:space="preserve">The Industrial Engineer assigned to this project will deliver the following services over a projected twelve-week period:</w:t>
      </w:r>
    </w:p>
    <w:p>
      <w:pPr>
        <w:numPr>
          <w:ilvl w:val="0"/>
          <w:numId w:val="1001"/>
        </w:numPr>
        <w:pStyle w:val="Compact"/>
      </w:pPr>
      <w:r>
        <w:rPr>
          <w:bCs/>
          <w:b/>
        </w:rPr>
        <w:t xml:space="preserve">Phase 1 – Diagnostic Assessment (Weeks 1–3):</w:t>
      </w:r>
      <w:r>
        <w:t xml:space="preserve"> </w:t>
      </w:r>
      <w:r>
        <w:t xml:space="preserve">Full-site time-and-motion studies, value-stream mapping, and bottleneck identification across all three production lines at the United States Miami facility. The Industrial Engineer will document current standard work procedures and quantify cycle times, takt times, and overall equipment effectiveness (OEE) metrics.</w:t>
      </w:r>
    </w:p>
    <w:p>
      <w:pPr>
        <w:numPr>
          <w:ilvl w:val="0"/>
          <w:numId w:val="1001"/>
        </w:numPr>
        <w:pStyle w:val="Compact"/>
      </w:pPr>
      <w:r>
        <w:rPr>
          <w:bCs/>
          <w:b/>
        </w:rPr>
        <w:t xml:space="preserve">Phase 2 – Process Redesign &amp; Simulation (Weeks 4–8):</w:t>
      </w:r>
      <w:r>
        <w:t xml:space="preserve"> </w:t>
      </w:r>
      <w:r>
        <w:t xml:space="preserve">Development of optimized layout configurations, ergonomic workstation redesigns, and discrete-event simulation models using Arena and FlexSim software. The Industrial Engineer will produce a minimum of four alternative process architectures with cost-benefit analyses for each.</w:t>
      </w:r>
    </w:p>
    <w:p>
      <w:pPr>
        <w:numPr>
          <w:ilvl w:val="0"/>
          <w:numId w:val="1001"/>
        </w:numPr>
        <w:pStyle w:val="Compact"/>
      </w:pPr>
      <w:r>
        <w:rPr>
          <w:bCs/>
          <w:b/>
        </w:rPr>
        <w:t xml:space="preserve">Phase 3 – Implementation Support (Weeks 9–12):</w:t>
      </w:r>
      <w:r>
        <w:t xml:space="preserve"> </w:t>
      </w:r>
      <w:r>
        <w:t xml:space="preserve">On-site supervision of pilot implementation, operator training sessions (minimum 40 hours), SOP documentation, and a final performance verification report. The Industrial Engineer will remain available for a 30-day post-implementation support window.</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1.0</w:t>
            </w:r>
          </w:p>
        </w:tc>
        <w:tc>
          <w:tcPr/>
          <w:p>
            <w:pPr>
              <w:pStyle w:val="Compact"/>
              <w:jc w:val="left"/>
            </w:pPr>
            <w:r>
              <w:t xml:space="preserve">Industrial Engineer – Senior (Dr. Reyes) – Professional Consulting Fee</w:t>
            </w:r>
          </w:p>
        </w:tc>
        <w:tc>
          <w:tcPr/>
          <w:p>
            <w:pPr>
              <w:pStyle w:val="Compact"/>
              <w:jc w:val="left"/>
            </w:pPr>
            <w:r>
              <w:t xml:space="preserve">480 hrs</w:t>
            </w:r>
          </w:p>
        </w:tc>
        <w:tc>
          <w:tcPr/>
          <w:p>
            <w:pPr>
              <w:pStyle w:val="Compact"/>
              <w:jc w:val="left"/>
            </w:pPr>
            <w:r>
              <w:t xml:space="preserve">$185.00</w:t>
            </w:r>
          </w:p>
        </w:tc>
        <w:tc>
          <w:tcPr/>
          <w:p>
            <w:pPr>
              <w:pStyle w:val="Compact"/>
              <w:jc w:val="left"/>
            </w:pPr>
            <w:r>
              <w:t xml:space="preserve">$88,800.00</w:t>
            </w:r>
          </w:p>
        </w:tc>
      </w:tr>
      <w:tr>
        <w:tc>
          <w:tcPr/>
          <w:p>
            <w:pPr>
              <w:pStyle w:val="Compact"/>
              <w:jc w:val="left"/>
            </w:pPr>
            <w:r>
              <w:t xml:space="preserve">2.0</w:t>
            </w:r>
          </w:p>
        </w:tc>
        <w:tc>
          <w:tcPr/>
          <w:p>
            <w:pPr>
              <w:pStyle w:val="Compact"/>
              <w:jc w:val="left"/>
            </w:pPr>
            <w:r>
              <w:t xml:space="preserve">Industrial Engineer – Associate (J. Tanaka, P.E.) – Support &amp; Data Collection</w:t>
            </w:r>
          </w:p>
        </w:tc>
        <w:tc>
          <w:tcPr/>
          <w:p>
            <w:pPr>
              <w:pStyle w:val="Compact"/>
              <w:jc w:val="left"/>
            </w:pPr>
            <w:r>
              <w:t xml:space="preserve">320 hrs</w:t>
            </w:r>
          </w:p>
        </w:tc>
        <w:tc>
          <w:tcPr/>
          <w:p>
            <w:pPr>
              <w:pStyle w:val="Compact"/>
              <w:jc w:val="left"/>
            </w:pPr>
            <w:r>
              <w:t xml:space="preserve">$120.00</w:t>
            </w:r>
          </w:p>
        </w:tc>
        <w:tc>
          <w:tcPr/>
          <w:p>
            <w:pPr>
              <w:pStyle w:val="Compact"/>
              <w:jc w:val="left"/>
            </w:pPr>
            <w:r>
              <w:t xml:space="preserve">$38,400.00</w:t>
            </w:r>
          </w:p>
        </w:tc>
      </w:tr>
      <w:tr>
        <w:tc>
          <w:tcPr/>
          <w:p>
            <w:pPr>
              <w:pStyle w:val="Compact"/>
              <w:jc w:val="left"/>
            </w:pPr>
            <w:r>
              <w:t xml:space="preserve">3.0</w:t>
            </w:r>
          </w:p>
        </w:tc>
        <w:tc>
          <w:tcPr/>
          <w:p>
            <w:pPr>
              <w:pStyle w:val="Compact"/>
              <w:jc w:val="left"/>
            </w:pPr>
            <w:r>
              <w:t xml:space="preserve">Discrete-Event Simulation Software Licenses (Arena + FlexSim, 12-month)</w:t>
            </w:r>
          </w:p>
        </w:tc>
        <w:tc>
          <w:tcPr/>
          <w:p>
            <w:pPr>
              <w:pStyle w:val="Compact"/>
              <w:jc w:val="left"/>
            </w:pPr>
            <w:r>
              <w:t xml:space="preserve">2 seats</w:t>
            </w:r>
          </w:p>
        </w:tc>
        <w:tc>
          <w:tcPr/>
          <w:p>
            <w:pPr>
              <w:pStyle w:val="Compact"/>
              <w:jc w:val="left"/>
            </w:pPr>
            <w:r>
              <w:t xml:space="preserve">$4,250.00</w:t>
            </w:r>
          </w:p>
        </w:tc>
        <w:tc>
          <w:tcPr/>
          <w:p>
            <w:pPr>
              <w:pStyle w:val="Compact"/>
              <w:jc w:val="left"/>
            </w:pPr>
            <w:r>
              <w:t xml:space="preserve">$8,500.00</w:t>
            </w:r>
          </w:p>
        </w:tc>
      </w:tr>
      <w:tr>
        <w:tc>
          <w:tcPr/>
          <w:p>
            <w:pPr>
              <w:pStyle w:val="Compact"/>
              <w:jc w:val="left"/>
            </w:pPr>
            <w:r>
              <w:t xml:space="preserve">4.0</w:t>
            </w:r>
          </w:p>
        </w:tc>
        <w:tc>
          <w:tcPr/>
          <w:p>
            <w:pPr>
              <w:pStyle w:val="Compact"/>
              <w:jc w:val="left"/>
            </w:pPr>
            <w:r>
              <w:t xml:space="preserve">Ergonomic Assessment Equipment Rental (force plates, motion-capture kit)</w:t>
            </w:r>
          </w:p>
        </w:tc>
        <w:tc>
          <w:tcPr/>
          <w:p>
            <w:pPr>
              <w:pStyle w:val="Compact"/>
              <w:jc w:val="left"/>
            </w:pPr>
            <w:r>
              <w:t xml:space="preserve">12 weeks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5.0</w:t>
            </w:r>
          </w:p>
        </w:tc>
        <w:tc>
          <w:tcPr/>
          <w:p>
            <w:pPr>
              <w:pStyle w:val="Compact"/>
              <w:jc w:val="left"/>
            </w:pPr>
            <w:r>
              <w:t xml:space="preserve">Travel &amp; Lodging – United States Miami area (local transport, parking, per diem)</w:t>
            </w:r>
          </w:p>
        </w:tc>
        <w:tc>
          <w:tcPr/>
          <w:p>
            <w:pPr>
              <w:pStyle w:val="Compact"/>
              <w:jc w:val="left"/>
            </w:pPr>
            <w:r>
              <w:t xml:space="preserve">12 weeks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6.0</w:t>
            </w:r>
          </w:p>
        </w:tc>
        <w:tc>
          <w:tcPr/>
          <w:p>
            <w:pPr>
              <w:pStyle w:val="Compact"/>
              <w:jc w:val="left"/>
            </w:pPr>
            <w:r>
              <w:t xml:space="preserve">Documentation, Report Printing &amp; Digital Deliverables</w:t>
            </w:r>
          </w:p>
        </w:tc>
        <w:tc>
          <w:tcPr/>
          <w:p>
            <w:pPr>
              <w:pStyle w:val="Compact"/>
              <w:jc w:val="left"/>
            </w:pPr>
            <w:r>
              <w:t xml:space="preserve">1 lot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7.0</w:t>
            </w:r>
          </w:p>
        </w:tc>
        <w:tc>
          <w:tcPr/>
          <w:p>
            <w:pPr>
              <w:pStyle w:val="Compact"/>
              <w:jc w:val="left"/>
            </w:pPr>
            <w:r>
              <w:t xml:space="preserve">Post-Implementation Support (30-day availability, Industrial Engineer on-call)</w:t>
            </w:r>
          </w:p>
        </w:tc>
        <w:tc>
          <w:tcPr/>
          <w:p>
            <w:pPr>
              <w:pStyle w:val="Compact"/>
              <w:jc w:val="left"/>
            </w:pPr>
            <w:r>
              <w:t xml:space="preserve">1 period</w:t>
            </w:r>
          </w:p>
        </w:tc>
        <w:tc>
          <w:tcPr/>
          <w:p>
            <w:pPr>
              <w:pStyle w:val="Compact"/>
              <w:jc w:val="left"/>
            </w:pPr>
            <w:r>
              <w:t xml:space="preserve">$5,500.00</w:t>
            </w:r>
          </w:p>
        </w:tc>
        <w:tc>
          <w:tcPr/>
          <w:p>
            <w:pPr>
              <w:pStyle w:val="Compact"/>
              <w:jc w:val="left"/>
            </w:pPr>
            <w:r>
              <w:t xml:space="preserve">$5,500.00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$173,000.00</w:t>
            </w:r>
          </w:p>
        </w:tc>
      </w:tr>
      <w:tr>
        <w:tc>
          <w:tcPr/>
          <w:p>
            <w:pPr>
              <w:pStyle w:val="Compact"/>
              <w:jc w:val="left"/>
            </w:pPr>
            <w:r>
              <w:t xml:space="preserve">Florida State Sales Tax (6.0%)</w:t>
            </w:r>
          </w:p>
        </w:tc>
        <w:tc>
          <w:tcPr/>
          <w:p>
            <w:pPr>
              <w:pStyle w:val="Compact"/>
              <w:jc w:val="right"/>
            </w:pPr>
            <w:r>
              <w:t xml:space="preserve">$10,380.00</w:t>
            </w:r>
          </w:p>
        </w:tc>
      </w:tr>
      <w:tr>
        <w:tc>
          <w:tcPr/>
          <w:p>
            <w:pPr>
              <w:pStyle w:val="Compact"/>
              <w:jc w:val="left"/>
            </w:pPr>
            <w:r>
              <w:t xml:space="preserve">Miami-Dade County Surcharge (0.5%)</w:t>
            </w:r>
          </w:p>
        </w:tc>
        <w:tc>
          <w:tcPr/>
          <w:p>
            <w:pPr>
              <w:pStyle w:val="Compact"/>
              <w:jc w:val="right"/>
            </w:pPr>
            <w:r>
              <w:t xml:space="preserve">$865.00</w:t>
            </w:r>
          </w:p>
        </w:tc>
      </w:tr>
      <w:tr>
        <w:tc>
          <w:tcPr/>
          <w:p>
            <w:pPr>
              <w:pStyle w:val="Compact"/>
              <w:jc w:val="left"/>
            </w:pPr>
            <w:r>
              <w:t xml:space="preserve">GRAND TOTAL (USD)</w:t>
            </w:r>
          </w:p>
        </w:tc>
        <w:tc>
          <w:tcPr/>
          <w:p>
            <w:pPr>
              <w:pStyle w:val="Compact"/>
              <w:jc w:val="right"/>
            </w:pPr>
            <w:r>
              <w:t xml:space="preserve">$184,245.00</w:t>
            </w:r>
          </w:p>
        </w:tc>
      </w:tr>
    </w:tbl>
    <w:bookmarkEnd w:id="23"/>
    <w:bookmarkStart w:id="24" w:name="payment-terms"/>
    <w:p>
      <w:pPr>
        <w:pStyle w:val="Heading2"/>
      </w:pPr>
      <w:r>
        <w:t xml:space="preserve">4. Payment Terms</w:t>
      </w:r>
    </w:p>
    <w:p>
      <w:pPr>
        <w:pStyle w:val="FirstParagraph"/>
      </w:pPr>
      <w:r>
        <w:t xml:space="preserve">This Quotation Estimate stipulates the following payment schedule, payable via ACH transfer or certified check to Apex Industrial Solutions, LLC:</w:t>
      </w:r>
    </w:p>
    <w:p>
      <w:pPr>
        <w:numPr>
          <w:ilvl w:val="0"/>
          <w:numId w:val="1002"/>
        </w:numPr>
        <w:pStyle w:val="Compact"/>
      </w:pPr>
      <w:r>
        <w:rPr>
          <w:bCs/>
          <w:b/>
        </w:rPr>
        <w:t xml:space="preserve">25% Retainer:</w:t>
      </w:r>
      <w:r>
        <w:t xml:space="preserve"> </w:t>
      </w:r>
      <w:r>
        <w:t xml:space="preserve">Due upon execution of the Service Agreement – $46,061.25</w:t>
      </w:r>
    </w:p>
    <w:p>
      <w:pPr>
        <w:numPr>
          <w:ilvl w:val="0"/>
          <w:numId w:val="1002"/>
        </w:numPr>
        <w:pStyle w:val="Compact"/>
      </w:pPr>
      <w:r>
        <w:rPr>
          <w:bCs/>
          <w:b/>
        </w:rPr>
        <w:t xml:space="preserve">35% Milestone (end of Phase 2):</w:t>
      </w:r>
      <w:r>
        <w:t xml:space="preserve"> </w:t>
      </w:r>
      <w:r>
        <w:t xml:space="preserve">Due upon delivery of simulation models – $64,485.75</w:t>
      </w:r>
    </w:p>
    <w:p>
      <w:pPr>
        <w:numPr>
          <w:ilvl w:val="0"/>
          <w:numId w:val="1002"/>
        </w:numPr>
        <w:pStyle w:val="Compact"/>
      </w:pPr>
      <w:r>
        <w:rPr>
          <w:bCs/>
          <w:b/>
        </w:rPr>
        <w:t xml:space="preserve">30% Milestone (end of Phase 3):</w:t>
      </w:r>
      <w:r>
        <w:t xml:space="preserve"> </w:t>
      </w:r>
      <w:r>
        <w:t xml:space="preserve">Due upon completion of implementation – $55,273.50</w:t>
      </w:r>
    </w:p>
    <w:p>
      <w:pPr>
        <w:numPr>
          <w:ilvl w:val="0"/>
          <w:numId w:val="1002"/>
        </w:numPr>
        <w:pStyle w:val="Compact"/>
      </w:pPr>
      <w:r>
        <w:rPr>
          <w:bCs/>
          <w:b/>
        </w:rPr>
        <w:t xml:space="preserve">10% Final Payment:</w:t>
      </w:r>
      <w:r>
        <w:t xml:space="preserve"> </w:t>
      </w:r>
      <w:r>
        <w:t xml:space="preserve">Due 30 days post-implementation support window – $18,424.50</w:t>
      </w:r>
    </w:p>
    <w:p>
      <w:pPr>
        <w:pStyle w:val="FirstParagraph"/>
      </w:pPr>
      <w:r>
        <w:t xml:space="preserve">All invoices are due net 30 days from date of issue. Late payments shall accrue interest at 1.5% per month. This Quotation Estimate is non-binding until countersigned by both parties.</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thirty (30) calendar days from the date of issue. After expiration, all rates, particularly the Industrial Engineer hourly fees, are subject to revision based on prevailing United States Miami labor market conditions.</w:t>
      </w:r>
    </w:p>
    <w:p>
      <w:pPr>
        <w:numPr>
          <w:ilvl w:val="0"/>
          <w:numId w:val="1003"/>
        </w:numPr>
        <w:pStyle w:val="Compact"/>
      </w:pPr>
      <w:r>
        <w:t xml:space="preserve">Apex Industrial Solutions, LLC shall assign a licensed Industrial Engineer (Florida P.E. License No. 12847) as the primary project lead. Substitution of personnel requires written client approval.</w:t>
      </w:r>
    </w:p>
    <w:p>
      <w:pPr>
        <w:numPr>
          <w:ilvl w:val="0"/>
          <w:numId w:val="1003"/>
        </w:numPr>
        <w:pStyle w:val="Compact"/>
      </w:pPr>
      <w:r>
        <w:t xml:space="preserve">All work product, including simulation files, process maps, and SOPs, shall become the sole property of Meridian Manufacturing Group upon full payment. Apex retains the right to reference the project in anonymized case studies.</w:t>
      </w:r>
    </w:p>
    <w:p>
      <w:pPr>
        <w:numPr>
          <w:ilvl w:val="0"/>
          <w:numId w:val="1003"/>
        </w:numPr>
        <w:pStyle w:val="Compact"/>
      </w:pPr>
      <w:r>
        <w:t xml:space="preserve">The Industrial Engineer shall comply with all OSHA regulations, site-specific safety protocols, and United States Miami municipal codes applicable to the work location.</w:t>
      </w:r>
    </w:p>
    <w:p>
      <w:pPr>
        <w:numPr>
          <w:ilvl w:val="0"/>
          <w:numId w:val="1003"/>
        </w:numPr>
        <w:pStyle w:val="Compact"/>
      </w:pPr>
      <w:r>
        <w:t xml:space="preserve">Force majeure events, including but not limited to hurricanes affecting the United States Miami region, shall extend the project timeline by the duration of the disruption without penalty to either party.</w:t>
      </w:r>
    </w:p>
    <w:p>
      <w:pPr>
        <w:numPr>
          <w:ilvl w:val="0"/>
          <w:numId w:val="1003"/>
        </w:numPr>
        <w:pStyle w:val="Compact"/>
      </w:pPr>
      <w:r>
        <w:t xml:space="preserve">Disputes arising from this Quotation Estimate or the resulting Service Agreement shall be governed by the laws of the State of Florida and resolved through binding arbitration in Miami-Dade County.</w:t>
      </w:r>
    </w:p>
    <w:p>
      <w:pPr>
        <w:numPr>
          <w:ilvl w:val="0"/>
          <w:numId w:val="1003"/>
        </w:numPr>
        <w:pStyle w:val="Compact"/>
      </w:pPr>
      <w:r>
        <w:t xml:space="preserve">Confidentiality: All proprietary data, production metrics, and client information shared during the engagement are subject to a mutual Non-Disclosure Agreement (NDA) to be executed concurrently with this Quotation Estimate.</w:t>
      </w:r>
    </w:p>
    <w:bookmarkEnd w:id="25"/>
    <w:bookmarkStart w:id="26" w:name="acceptance-authorization"/>
    <w:p>
      <w:pPr>
        <w:pStyle w:val="Heading2"/>
      </w:pPr>
      <w:r>
        <w:t xml:space="preserve">6. Acceptance &amp; Authorization</w:t>
      </w:r>
    </w:p>
    <w:p>
      <w:pPr>
        <w:pStyle w:val="FirstParagraph"/>
      </w:pPr>
      <w:r>
        <w:t xml:space="preserve">By signing below, both parties acknowledge that this Quotation Estimate accurately represents the agreed-upon scope, pricing, and terms for the Industrial Engineer services to be performed in United States Miami. This document, once executed, shall serve as the basis for the formal Service Agreement.</w:t>
      </w:r>
    </w:p>
    <w:p>
      <w:pPr>
        <w:pStyle w:val="BodyText"/>
      </w:pPr>
      <w:r>
        <w:rPr>
          <w:bCs/>
          <w:b/>
        </w:rPr>
        <w:t xml:space="preserve">For Apex Industrial Solutions, LLC</w:t>
      </w:r>
    </w:p>
    <w:p>
      <w:pPr>
        <w:pStyle w:val="BodyText"/>
      </w:pPr>
      <w:r>
        <w:t xml:space="preserve">Dr. Carlos A. Reyes, P.E.</w:t>
      </w:r>
    </w:p>
    <w:p>
      <w:pPr>
        <w:pStyle w:val="BodyText"/>
      </w:pPr>
      <w:r>
        <w:t xml:space="preserve">Senior Industrial Engineer / Principal</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Meridian Manufacturing Group, Inc.</w:t>
      </w:r>
    </w:p>
    <w:p>
      <w:pPr>
        <w:pStyle w:val="BodyText"/>
      </w:pPr>
      <w:r>
        <w:t xml:space="preserve">Authorized Representative</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Apex Industrial Solutions, LLC – 1200 Biscayne Blvd, Suite 450, Miami, FL 33132 | United States Miami</w:t>
      </w:r>
    </w:p>
    <w:p>
      <w:pPr>
        <w:pStyle w:val="BodyText"/>
      </w:pPr>
      <w:r>
        <w:t xml:space="preserve">Quotation Estimate No. QTE-2025-MIA-00472 | Page 1 of 1 | This document is electronically generated and valid without wet-ink signature.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United States Miami</dc:title>
  <dc:creator/>
  <dc:language>en</dc:language>
  <cp:keywords/>
  <dcterms:created xsi:type="dcterms:W3CDTF">2026-10-10T04:11:48Z</dcterms:created>
  <dcterms:modified xsi:type="dcterms:W3CDTF">2026-10-10T04:11:48Z</dcterms:modified>
</cp:coreProperties>
</file>

<file path=docProps/custom.xml><?xml version="1.0" encoding="utf-8"?>
<Properties xmlns="http://schemas.openxmlformats.org/officeDocument/2006/custom-properties" xmlns:vt="http://schemas.openxmlformats.org/officeDocument/2006/docPropsVTypes"/>
</file>