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MediaBridge Communications &amp; Consulting Inc.</w:t>
      </w:r>
    </w:p>
    <w:p>
      <w:pPr>
        <w:pStyle w:val="BodyText"/>
      </w:pPr>
      <w:r>
        <w:t xml:space="preserve">128 Ayala Avenue, Makati City, Philippines Manila 1226</w:t>
      </w:r>
    </w:p>
    <w:p>
      <w:pPr>
        <w:pStyle w:val="BodyText"/>
      </w:pPr>
      <w:r>
        <w:t xml:space="preserve">Tel: +63 (2) 8888-4521 | Email: quotations@mediabridgeph.com</w:t>
      </w:r>
    </w:p>
    <w:p>
      <w:pPr>
        <w:pStyle w:val="BodyText"/>
      </w:pPr>
      <w:r>
        <w:t xml:space="preserve">DTI Registration No. CS2019-0456789 | BIR TIN: 000-123-456-000</w:t>
      </w:r>
    </w:p>
    <w:bookmarkEnd w:id="20"/>
    <w:p>
      <w:pPr>
        <w:pStyle w:val="BodyText"/>
      </w:pPr>
      <w:r>
        <w:rPr>
          <w:bCs/>
          <w:b/>
        </w:rPr>
        <w:t xml:space="preserve">Quotation No.:</w:t>
      </w:r>
      <w:r>
        <w:t xml:space="preserve"> </w:t>
      </w:r>
      <w:r>
        <w:t xml:space="preserve">QTE-2025-0714-JRN</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13, 2025 (30 days)</w:t>
      </w:r>
    </w:p>
    <w:p>
      <w:pPr>
        <w:pStyle w:val="BodyText"/>
      </w:pPr>
      <w:r>
        <w:rPr>
          <w:bCs/>
          <w:b/>
        </w:rPr>
        <w:t xml:space="preserve">Prepared For:</w:t>
      </w:r>
      <w:r>
        <w:t xml:space="preserve"> </w:t>
      </w:r>
      <w:r>
        <w:t xml:space="preserve">[Client Name / Organization]</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formally issued by MediaBridge Communications &amp; Consulting Inc. to provide a comprehensive and transparent breakdown of costs associated with the professional engagement of a</w:t>
      </w:r>
      <w:r>
        <w:t xml:space="preserve"> </w:t>
      </w:r>
      <w:r>
        <w:rPr>
          <w:bCs/>
          <w:b/>
        </w:rPr>
        <w:t xml:space="preserve">Journalist</w:t>
      </w:r>
      <w:r>
        <w:t xml:space="preserve"> </w:t>
      </w:r>
      <w:r>
        <w:t xml:space="preserve">for media, editorial, and communications services to be rendered within the</w:t>
      </w:r>
      <w:r>
        <w:t xml:space="preserve"> </w:t>
      </w:r>
      <w:r>
        <w:rPr>
          <w:bCs/>
          <w:b/>
        </w:rPr>
        <w:t xml:space="preserve">Philippines Manila</w:t>
      </w:r>
      <w:r>
        <w:t xml:space="preserve"> </w:t>
      </w:r>
      <w:r>
        <w:t xml:space="preserve">metropolitan area and its surrounding provinces. This document serves as the official pricing reference for the client's review, internal approval, and potential acceptance of the proposed services. All figures presented in this Quotation Estimate are quoted in Philippine Pesos (PHP) unless otherwise stated.</w:t>
      </w:r>
    </w:p>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[Full Legal Name of Client / Organization]</w:t>
            </w:r>
          </w:p>
        </w:tc>
      </w:tr>
      <w:tr>
        <w:tc>
          <w:tcPr/>
          <w:p>
            <w:pPr>
              <w:pStyle w:val="Compact"/>
              <w:jc w:val="left"/>
            </w:pPr>
            <w:r>
              <w:rPr>
                <w:bCs/>
                <w:b/>
              </w:rPr>
              <w:t xml:space="preserve">Address:</w:t>
            </w:r>
          </w:p>
        </w:tc>
        <w:tc>
          <w:tcPr/>
          <w:p>
            <w:pPr>
              <w:pStyle w:val="Compact"/>
              <w:jc w:val="left"/>
            </w:pPr>
            <w:r>
              <w:t xml:space="preserve">[Street, Barangay, City/Municipality, Philippines Manila Region]</w:t>
            </w:r>
          </w:p>
        </w:tc>
      </w:tr>
      <w:tr>
        <w:tc>
          <w:tcPr/>
          <w:p>
            <w:pPr>
              <w:pStyle w:val="Compact"/>
              <w:jc w:val="left"/>
            </w:pPr>
            <w:r>
              <w:rPr>
                <w:bCs/>
                <w:b/>
              </w:rPr>
              <w:t xml:space="preserve">Contact Person:</w:t>
            </w:r>
          </w:p>
        </w:tc>
        <w:tc>
          <w:tcPr/>
          <w:p>
            <w:pPr>
              <w:pStyle w:val="Compact"/>
              <w:jc w:val="left"/>
            </w:pPr>
            <w:r>
              <w:t xml:space="preserve">[Name, Title, Phone, Email]</w:t>
            </w:r>
          </w:p>
        </w:tc>
      </w:tr>
      <w:tr>
        <w:tc>
          <w:tcPr/>
          <w:p>
            <w:pPr>
              <w:pStyle w:val="Compact"/>
              <w:jc w:val="left"/>
            </w:pPr>
            <w:r>
              <w:rPr>
                <w:bCs/>
                <w:b/>
              </w:rPr>
              <w:t xml:space="preserve">Project Reference:</w:t>
            </w:r>
          </w:p>
        </w:tc>
        <w:tc>
          <w:tcPr/>
          <w:p>
            <w:pPr>
              <w:pStyle w:val="Compact"/>
              <w:jc w:val="left"/>
            </w:pPr>
            <w:r>
              <w:t xml:space="preserve">Journalist Engagement – Q3 2025 Media Campaign</w:t>
            </w:r>
          </w:p>
        </w:tc>
      </w:tr>
    </w:tbl>
    <w:bookmarkEnd w:id="22"/>
    <w:bookmarkStart w:id="23" w:name="scope-of-journalist-services"/>
    <w:p>
      <w:pPr>
        <w:pStyle w:val="Heading2"/>
      </w:pPr>
      <w:r>
        <w:t xml:space="preserve">3. Scope of Journalist Services</w:t>
      </w:r>
    </w:p>
    <w:p>
      <w:pPr>
        <w:pStyle w:val="FirstParagraph"/>
      </w:pPr>
      <w:r>
        <w:t xml:space="preserve">The following scope outlines the specific deliverables and professional activities to be performed by the assigned</w:t>
      </w:r>
      <w:r>
        <w:t xml:space="preserve"> </w:t>
      </w:r>
      <w:r>
        <w:rPr>
          <w:bCs/>
          <w:b/>
        </w:rPr>
        <w:t xml:space="preserve">Journalist</w:t>
      </w:r>
      <w:r>
        <w:t xml:space="preserve"> </w:t>
      </w:r>
      <w:r>
        <w:t xml:space="preserve">under this engagement in the</w:t>
      </w:r>
      <w:r>
        <w:t xml:space="preserve"> </w:t>
      </w:r>
      <w:r>
        <w:rPr>
          <w:bCs/>
          <w:b/>
        </w:rPr>
        <w:t xml:space="preserve">Philippines Manila</w:t>
      </w:r>
      <w:r>
        <w:t xml:space="preserve"> </w:t>
      </w:r>
      <w:r>
        <w:t xml:space="preserve">area:</w:t>
      </w:r>
    </w:p>
    <w:p>
      <w:pPr>
        <w:numPr>
          <w:ilvl w:val="0"/>
          <w:numId w:val="1001"/>
        </w:numPr>
        <w:pStyle w:val="Compact"/>
      </w:pPr>
      <w:r>
        <w:t xml:space="preserve">On-site coverage of corporate events, press conferences, and product launches held in the Philippines Manila region (up to 12 events per month).</w:t>
      </w:r>
    </w:p>
    <w:p>
      <w:pPr>
        <w:numPr>
          <w:ilvl w:val="0"/>
          <w:numId w:val="1001"/>
        </w:numPr>
        <w:pStyle w:val="Compact"/>
      </w:pPr>
      <w:r>
        <w:t xml:space="preserve">Writing and editing of at least 20 long-form news articles, feature stories, and press releases per month.</w:t>
      </w:r>
    </w:p>
    <w:p>
      <w:pPr>
        <w:numPr>
          <w:ilvl w:val="0"/>
          <w:numId w:val="1001"/>
        </w:numPr>
        <w:pStyle w:val="Compact"/>
      </w:pPr>
      <w:r>
        <w:t xml:space="preserve">Conducting in-depth interviews with key stakeholders, government officials, and industry experts based in the Philippines Manila area.</w:t>
      </w:r>
    </w:p>
    <w:p>
      <w:pPr>
        <w:numPr>
          <w:ilvl w:val="0"/>
          <w:numId w:val="1001"/>
        </w:numPr>
        <w:pStyle w:val="Compact"/>
      </w:pPr>
      <w:r>
        <w:t xml:space="preserve">Production of 4 multimedia content packages (video scripts, photo captions, and social media copy) per month.</w:t>
      </w:r>
    </w:p>
    <w:p>
      <w:pPr>
        <w:numPr>
          <w:ilvl w:val="0"/>
          <w:numId w:val="1001"/>
        </w:numPr>
        <w:pStyle w:val="Compact"/>
      </w:pPr>
      <w:r>
        <w:t xml:space="preserve">Attendance at the Daily Press Briefing at Malacañang Palace and the weekly Metro Manila media roundtables.</w:t>
      </w:r>
    </w:p>
    <w:p>
      <w:pPr>
        <w:numPr>
          <w:ilvl w:val="0"/>
          <w:numId w:val="1001"/>
        </w:numPr>
        <w:pStyle w:val="Compact"/>
      </w:pPr>
      <w:r>
        <w:t xml:space="preserve">Coordination with the client's internal communications team for editorial alignment and brand voice consistency.</w:t>
      </w:r>
    </w:p>
    <w:p>
      <w:pPr>
        <w:numPr>
          <w:ilvl w:val="0"/>
          <w:numId w:val="1001"/>
        </w:numPr>
        <w:pStyle w:val="Compact"/>
      </w:pPr>
      <w:r>
        <w:t xml:space="preserve">Submission of a monthly editorial performance report summarizing all Journalist deliverables and media placements.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Journalist – Monthly Professional Fee (full-time engagement, 8 hrs/day, Mon–Fri)</w:t>
            </w:r>
          </w:p>
        </w:tc>
        <w:tc>
          <w:tcPr/>
          <w:p>
            <w:pPr>
              <w:pStyle w:val="Compact"/>
              <w:jc w:val="left"/>
            </w:pPr>
            <w:r>
              <w:t xml:space="preserve">3 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On-Site Event Coverage (travel, per diem, and equipment within Philippines Manila)</w:t>
            </w:r>
          </w:p>
        </w:tc>
        <w:tc>
          <w:tcPr/>
          <w:p>
            <w:pPr>
              <w:pStyle w:val="Compact"/>
              <w:jc w:val="left"/>
            </w:pPr>
            <w:r>
              <w:t xml:space="preserve">36 events</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3</w:t>
            </w:r>
          </w:p>
        </w:tc>
        <w:tc>
          <w:tcPr/>
          <w:p>
            <w:pPr>
              <w:pStyle w:val="Compact"/>
              <w:jc w:val="left"/>
            </w:pPr>
            <w:r>
              <w:t xml:space="preserve">Long-Form Article &amp; Press Release Writing (includes 2 rounds of revision)</w:t>
            </w:r>
          </w:p>
        </w:tc>
        <w:tc>
          <w:tcPr/>
          <w:p>
            <w:pPr>
              <w:pStyle w:val="Compact"/>
              <w:jc w:val="left"/>
            </w:pPr>
            <w:r>
              <w:t xml:space="preserve">60 articles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Multimedia Content Package Production (script, captions, social copy)</w:t>
            </w:r>
          </w:p>
        </w:tc>
        <w:tc>
          <w:tcPr/>
          <w:p>
            <w:pPr>
              <w:pStyle w:val="Compact"/>
              <w:jc w:val="left"/>
            </w:pPr>
            <w:r>
              <w:t xml:space="preserve">12 packages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Interview Coordination &amp; Transcription Services (Philippines Manila-based subjects)</w:t>
            </w:r>
          </w:p>
        </w:tc>
        <w:tc>
          <w:tcPr/>
          <w:p>
            <w:pPr>
              <w:pStyle w:val="Compact"/>
              <w:jc w:val="left"/>
            </w:pPr>
            <w:r>
              <w:t xml:space="preserve">24 interviews</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Monthly Editorial Performance Report &amp; Strategy Consultation</w:t>
            </w:r>
          </w:p>
        </w:tc>
        <w:tc>
          <w:tcPr/>
          <w:p>
            <w:pPr>
              <w:pStyle w:val="Compact"/>
              <w:jc w:val="left"/>
            </w:pPr>
            <w:r>
              <w:t xml:space="preserve">3 reports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Administrative &amp; Coordination Fee (scheduling, licensing, insurance)</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gridSpan w:val="4"/>
          </w:tcPr>
          <w:p>
            <w:pPr>
              <w:pStyle w:val="Compact"/>
              <w:jc w:val="left"/>
            </w:pPr>
            <w:r>
              <w:t xml:space="preserve">SUBTOTAL (PHP)</w:t>
            </w:r>
          </w:p>
        </w:tc>
        <w:tc>
          <w:tcPr/>
          <w:p>
            <w:pPr>
              <w:pStyle w:val="Compact"/>
              <w:jc w:val="left"/>
            </w:pPr>
            <w:r>
              <w:t xml:space="preserve">1,212,000.00</w:t>
            </w:r>
          </w:p>
        </w:tc>
      </w:tr>
      <w:tr>
        <w:tc>
          <w:tcPr>
            <w:gridSpan w:val="4"/>
          </w:tcPr>
          <w:p>
            <w:pPr>
              <w:pStyle w:val="Compact"/>
              <w:jc w:val="left"/>
            </w:pPr>
            <w:r>
              <w:t xml:space="preserve">VAT (12%)</w:t>
            </w:r>
          </w:p>
        </w:tc>
        <w:tc>
          <w:tcPr/>
          <w:p>
            <w:pPr>
              <w:pStyle w:val="Compact"/>
              <w:jc w:val="left"/>
            </w:pPr>
            <w:r>
              <w:t xml:space="preserve">145,440.00</w:t>
            </w:r>
          </w:p>
        </w:tc>
      </w:tr>
      <w:tr>
        <w:tc>
          <w:tcPr>
            <w:gridSpan w:val="4"/>
          </w:tcPr>
          <w:p>
            <w:pPr>
              <w:pStyle w:val="Compact"/>
              <w:jc w:val="left"/>
            </w:pPr>
            <w:r>
              <w:t xml:space="preserve">TOTAL AMOUNT DUE (PHP)</w:t>
            </w:r>
          </w:p>
        </w:tc>
        <w:tc>
          <w:tcPr/>
          <w:p>
            <w:pPr>
              <w:pStyle w:val="Compact"/>
              <w:jc w:val="left"/>
            </w:pPr>
            <w:r>
              <w:t xml:space="preserve">1,357,440.00</w:t>
            </w:r>
          </w:p>
        </w:tc>
      </w:tr>
    </w:tbl>
    <w:bookmarkEnd w:id="24"/>
    <w:bookmarkStart w:id="25" w:name="payment-terms"/>
    <w:p>
      <w:pPr>
        <w:pStyle w:val="Heading2"/>
      </w:pPr>
      <w:r>
        <w:t xml:space="preserve">5. Payment Terms</w:t>
      </w:r>
    </w:p>
    <w:p>
      <w:pPr>
        <w:numPr>
          <w:ilvl w:val="0"/>
          <w:numId w:val="1002"/>
        </w:numPr>
        <w:pStyle w:val="Compact"/>
      </w:pPr>
      <w:r>
        <w:t xml:space="preserve">Payment shall be made via bank transfer to the account designated by MediaBridge Communications &amp; Consulting Inc. in the Philippines Manila.</w:t>
      </w:r>
    </w:p>
    <w:p>
      <w:pPr>
        <w:numPr>
          <w:ilvl w:val="0"/>
          <w:numId w:val="1002"/>
        </w:numPr>
        <w:pStyle w:val="Compact"/>
      </w:pPr>
      <w:r>
        <w:t xml:space="preserve">A 50% advance payment (PHP 678,720.00) is due upon acceptance of this Quotation Estimate and execution of the Service Agreement.</w:t>
      </w:r>
    </w:p>
    <w:p>
      <w:pPr>
        <w:numPr>
          <w:ilvl w:val="0"/>
          <w:numId w:val="1002"/>
        </w:numPr>
        <w:pStyle w:val="Compact"/>
      </w:pPr>
      <w:r>
        <w:t xml:space="preserve">The remaining 50% balance (PHP 678,720.00) shall be paid in three equal monthly installments of PHP 226,240.00, due on the 5th business day of each month.</w:t>
      </w:r>
    </w:p>
    <w:p>
      <w:pPr>
        <w:numPr>
          <w:ilvl w:val="0"/>
          <w:numId w:val="1002"/>
        </w:numPr>
        <w:pStyle w:val="Compact"/>
      </w:pPr>
      <w:r>
        <w:t xml:space="preserve">All payments are subject to a 1.5% monthly interest charge on overdue balances.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issuance. Beyond this period, pricing may be subject to revision due to market adjustments in the Philippines Manila media industry.</w:t>
      </w:r>
    </w:p>
    <w:p>
      <w:pPr>
        <w:numPr>
          <w:ilvl w:val="0"/>
          <w:numId w:val="1003"/>
        </w:numPr>
        <w:pStyle w:val="Compact"/>
      </w:pPr>
      <w:r>
        <w:t xml:space="preserve">The assigned Journalist must hold a valid Press Card issued by the Philippine Press Club or the Department of Information and Communications Technology (DICT).</w:t>
      </w:r>
    </w:p>
    <w:p>
      <w:pPr>
        <w:numPr>
          <w:ilvl w:val="0"/>
          <w:numId w:val="1003"/>
        </w:numPr>
        <w:pStyle w:val="Compact"/>
      </w:pPr>
      <w:r>
        <w:t xml:space="preserve">All intellectual property rights to published and unpublished work produced under this engagement shall transfer to the client upon full payment.</w:t>
      </w:r>
    </w:p>
    <w:p>
      <w:pPr>
        <w:numPr>
          <w:ilvl w:val="0"/>
          <w:numId w:val="1003"/>
        </w:numPr>
        <w:pStyle w:val="Compact"/>
      </w:pPr>
      <w:r>
        <w:t xml:space="preserve">The Journalist shall comply with the Philippine Data Privacy Act of 2012 (RA 10173) and all applicable media ethics codes in the Philippines Manila jurisdiction.</w:t>
      </w:r>
    </w:p>
    <w:p>
      <w:pPr>
        <w:numPr>
          <w:ilvl w:val="0"/>
          <w:numId w:val="1003"/>
        </w:numPr>
        <w:pStyle w:val="Compact"/>
      </w:pPr>
      <w:r>
        <w:t xml:space="preserve">Any changes to the scope of services must be documented in a written Change Order signed by both parties before additional work commences.</w:t>
      </w:r>
    </w:p>
    <w:p>
      <w:pPr>
        <w:numPr>
          <w:ilvl w:val="0"/>
          <w:numId w:val="1003"/>
        </w:numPr>
        <w:pStyle w:val="Compact"/>
      </w:pPr>
      <w:r>
        <w:t xml:space="preserve">This Quotation Estimate does not constitute a binding contract until a formal Service Agreement is executed by both parties.</w:t>
      </w:r>
    </w:p>
    <w:p>
      <w:pPr>
        <w:pStyle w:val="FirstParagraph"/>
      </w:pPr>
      <w:r>
        <w:rPr>
          <w:bCs/>
          <w:b/>
        </w:rPr>
        <w:t xml:space="preserve">Note:</w:t>
      </w:r>
      <w:r>
        <w:t xml:space="preserve"> </w:t>
      </w:r>
      <w:r>
        <w:t xml:space="preserve">This Quotation Estimate is prepared exclusively for the client named above and is non-transferable. All rates are inclusive of the Journalist's professional expertise, editorial judgment, and media network access within the Philippines Manila metropolitan area. Additional travel to provinces outside Metro Manila will be billed separately at cost.</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pricing outlined herein for the engagement of the Journalist services in the Philippines Manila area.</w:t>
      </w:r>
    </w:p>
    <w:p>
      <w:pPr>
        <w:pStyle w:val="BodyText"/>
      </w:pPr>
      <w:r>
        <w:rPr>
          <w:bCs/>
          <w:b/>
        </w:rPr>
        <w:t xml:space="preserve">For MediaBridge Communications &amp; Consulting Inc.</w:t>
      </w:r>
      <w:r>
        <w:br/>
      </w:r>
      <w:r>
        <w:t xml:space="preserve">Name: ______________________________</w:t>
      </w:r>
      <w:r>
        <w:br/>
      </w:r>
      <w:r>
        <w:t xml:space="preserve">Title: Head of Quotations &amp; Business Development</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MediaBridge Communications &amp; Consulting Inc. | 128 Ayala Avenue, Makati City, Philippines Manila 1226</w:t>
      </w:r>
    </w:p>
    <w:p>
      <w:pPr>
        <w:pStyle w:val="BodyText"/>
      </w:pPr>
      <w:r>
        <w:t xml:space="preserve">This Quotation Estimate is generated electronically and is valid without a physical seal.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Philippines Manila</dc:title>
  <dc:creator/>
  <dc:language>en</dc:language>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