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mediapro-communications-jeddah"/>
    <w:p>
      <w:pPr>
        <w:pStyle w:val="Heading1"/>
      </w:pPr>
      <w:r>
        <w:t xml:space="preserve">MediaPro Communications Jeddah</w:t>
      </w:r>
    </w:p>
    <w:p>
      <w:pPr>
        <w:pStyle w:val="FirstParagraph"/>
      </w:pPr>
      <w:r>
        <w:t xml:space="preserve">Professional Media &amp; Journalism Services</w:t>
      </w:r>
    </w:p>
    <w:p>
      <w:pPr>
        <w:pStyle w:val="BodyText"/>
      </w:pPr>
      <w:r>
        <w:t xml:space="preserve">King Fahd Road, Al Shati District, Jeddah 23412, Saudi Arabia</w:t>
      </w:r>
    </w:p>
    <w:p>
      <w:pPr>
        <w:pStyle w:val="BodyText"/>
      </w:pPr>
      <w:r>
        <w:t xml:space="preserve">Tel: +966 12 555 0147 | Email: quotations@mediaprojeddah.sa</w:t>
      </w:r>
    </w:p>
    <w:p>
      <w:pPr>
        <w:pStyle w:val="BodyText"/>
      </w:pPr>
      <w:r>
        <w:t xml:space="preserve">CR No. 1010456789 | VAT No. 310123456700003</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QTE-JED-2025-0387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Sarah Al-Otaibi,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Jeddah, Saudi Arabia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Dear Valued Client,</w:t>
      </w:r>
    </w:p>
    <w:p>
      <w:pPr>
        <w:pStyle w:val="BodyText"/>
      </w:pPr>
      <w:r>
        <w:t xml:space="preserve">Thank you for considering MediaPro Communications Jeddah for your professional media needs. This</w:t>
      </w:r>
      <w:r>
        <w:t xml:space="preserve"> </w:t>
      </w:r>
      <w:r>
        <w:t xml:space="preserve">Quotation Estimate</w:t>
      </w:r>
      <w:r>
        <w:t xml:space="preserve"> </w:t>
      </w:r>
      <w:r>
        <w:t xml:space="preserve">has been carefully prepared to outline the full scope of</w:t>
      </w:r>
      <w:r>
        <w:t xml:space="preserve"> </w:t>
      </w:r>
      <w:r>
        <w:t xml:space="preserve">Journalist</w:t>
      </w:r>
      <w:r>
        <w:t xml:space="preserve"> </w:t>
      </w:r>
      <w:r>
        <w:t xml:space="preserve">services we will provide to your organization within the city of</w:t>
      </w:r>
      <w:r>
        <w:t xml:space="preserve"> </w:t>
      </w:r>
      <w:r>
        <w:t xml:space="preserve">Saudi Arabia Jeddah</w:t>
      </w:r>
      <w:r>
        <w:t xml:space="preserve"> </w:t>
      </w:r>
      <w:r>
        <w:t xml:space="preserve">and its surrounding areas. We are committed to delivering exceptional editorial, reporting, and content production services that align with the highest standards of the Saudi media landscape and the regulatory framework established by the Saudi Communications and Media Commission (CMA).</w:t>
      </w:r>
    </w:p>
    <w:bookmarkStart w:id="23" w:name="scope-of-journalist-services"/>
    <w:p>
      <w:pPr>
        <w:pStyle w:val="Heading2"/>
      </w:pPr>
      <w:r>
        <w:t xml:space="preserve">Scope of Journalist Services</w:t>
      </w:r>
    </w:p>
    <w:p>
      <w:pPr>
        <w:pStyle w:val="FirstParagraph"/>
      </w:pPr>
      <w:r>
        <w:t xml:space="preserve">This</w:t>
      </w:r>
      <w:r>
        <w:t xml:space="preserve"> </w:t>
      </w:r>
      <w:r>
        <w:t xml:space="preserve">Quotation Estimate</w:t>
      </w:r>
      <w:r>
        <w:t xml:space="preserve"> </w:t>
      </w:r>
      <w:r>
        <w:t xml:space="preserve">covers the engagement of a senior</w:t>
      </w:r>
      <w:r>
        <w:t xml:space="preserve"> </w:t>
      </w:r>
      <w:r>
        <w:t xml:space="preserve">Journalist</w:t>
      </w:r>
      <w:r>
        <w:t xml:space="preserve"> </w:t>
      </w:r>
      <w:r>
        <w:t xml:space="preserve">and supporting editorial team to deliver comprehensive media services in</w:t>
      </w:r>
      <w:r>
        <w:t xml:space="preserve"> </w:t>
      </w:r>
      <w:r>
        <w:t xml:space="preserve">Saudi Arabia Jeddah</w:t>
      </w:r>
      <w:r>
        <w:t xml:space="preserve">. The</w:t>
      </w:r>
      <w:r>
        <w:t xml:space="preserve"> </w:t>
      </w:r>
      <w:r>
        <w:t xml:space="preserve">Journalist</w:t>
      </w:r>
      <w:r>
        <w:t xml:space="preserve"> </w:t>
      </w:r>
      <w:r>
        <w:t xml:space="preserve">assigned to your project will hold a valid Saudi press card, possess a minimum of ten years of experience in Arabic and English-language reporting, and be fully versed in the cultural, economic, and social dynamics of the Jeddah metropolitan area. All deliverables will comply with the Saudi Press Law and the guidelines issued by the CMA for</w:t>
      </w:r>
      <w:r>
        <w:t xml:space="preserve"> </w:t>
      </w:r>
      <w:r>
        <w:t xml:space="preserve">Saudi Arabia Jeddah</w:t>
      </w:r>
      <w:r>
        <w:t xml:space="preserve">-based media operations.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Senior</w:t>
            </w:r>
            <w:r>
              <w:t xml:space="preserve"> </w:t>
            </w:r>
            <w:r>
              <w:t xml:space="preserve">Journalist</w:t>
            </w:r>
            <w:r>
              <w:t xml:space="preserve"> </w:t>
            </w:r>
            <w:r>
              <w:t xml:space="preserve">– On-site reporting and editorial coverage in</w:t>
            </w:r>
            <w:r>
              <w:t xml:space="preserve"> </w:t>
            </w:r>
            <w:r>
              <w:t xml:space="preserve">Saudi Arabia Jeddah</w:t>
            </w:r>
            <w:r>
              <w:t xml:space="preserve"> </w:t>
            </w:r>
            <w:r>
              <w:t xml:space="preserve">(including Red Sea port, Al Balad heritage zone, and commercial districts)</w:t>
            </w:r>
          </w:p>
        </w:tc>
        <w:tc>
          <w:tcPr/>
          <w:p>
            <w:pPr>
              <w:pStyle w:val="Compact"/>
              <w:jc w:val="left"/>
            </w:pPr>
            <w:r>
              <w:t xml:space="preserve">30 days</w:t>
            </w:r>
          </w:p>
        </w:tc>
        <w:tc>
          <w:tcPr/>
          <w:p>
            <w:pPr>
              <w:pStyle w:val="Compact"/>
              <w:jc w:val="left"/>
            </w:pPr>
            <w:r>
              <w:t xml:space="preserve">4,500 / day</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Junior</w:t>
            </w:r>
            <w:r>
              <w:t xml:space="preserve"> </w:t>
            </w:r>
            <w:r>
              <w:t xml:space="preserve">Journalist</w:t>
            </w:r>
            <w:r>
              <w:t xml:space="preserve"> </w:t>
            </w:r>
            <w:r>
              <w:t xml:space="preserve">/ Research Assistant – Data gathering, interview scheduling, and fact-checking within Jeddah</w:t>
            </w:r>
          </w:p>
        </w:tc>
        <w:tc>
          <w:tcPr/>
          <w:p>
            <w:pPr>
              <w:pStyle w:val="Compact"/>
              <w:jc w:val="left"/>
            </w:pPr>
            <w:r>
              <w:t xml:space="preserve">30 days</w:t>
            </w:r>
          </w:p>
        </w:tc>
        <w:tc>
          <w:tcPr/>
          <w:p>
            <w:pPr>
              <w:pStyle w:val="Compact"/>
              <w:jc w:val="left"/>
            </w:pPr>
            <w:r>
              <w:t xml:space="preserve">2,200 / day</w:t>
            </w:r>
          </w:p>
        </w:tc>
        <w:tc>
          <w:tcPr/>
          <w:p>
            <w:pPr>
              <w:pStyle w:val="Compact"/>
              <w:jc w:val="left"/>
            </w:pPr>
            <w:r>
              <w:t xml:space="preserve">66,000</w:t>
            </w:r>
          </w:p>
        </w:tc>
      </w:tr>
      <w:tr>
        <w:tc>
          <w:tcPr/>
          <w:p>
            <w:pPr>
              <w:pStyle w:val="Compact"/>
              <w:jc w:val="left"/>
            </w:pPr>
            <w:r>
              <w:t xml:space="preserve">3</w:t>
            </w:r>
          </w:p>
        </w:tc>
        <w:tc>
          <w:tcPr/>
          <w:p>
            <w:pPr>
              <w:pStyle w:val="Compact"/>
              <w:jc w:val="left"/>
            </w:pPr>
            <w:r>
              <w:t xml:space="preserve">Arabic-to-English and English-to-Arabic translation of all</w:t>
            </w:r>
            <w:r>
              <w:t xml:space="preserve"> </w:t>
            </w:r>
            <w:r>
              <w:t xml:space="preserve">Journalist</w:t>
            </w:r>
            <w:r>
              <w:t xml:space="preserve"> </w:t>
            </w:r>
            <w:r>
              <w:t xml:space="preserve">deliverables</w:t>
            </w:r>
          </w:p>
        </w:tc>
        <w:tc>
          <w:tcPr/>
          <w:p>
            <w:pPr>
              <w:pStyle w:val="Compact"/>
              <w:jc w:val="left"/>
            </w:pPr>
            <w:r>
              <w:t xml:space="preserve">Per project</w:t>
            </w:r>
          </w:p>
        </w:tc>
        <w:tc>
          <w:tcPr/>
          <w:p>
            <w:pPr>
              <w:pStyle w:val="Compact"/>
              <w:jc w:val="left"/>
            </w:pPr>
            <w:r>
              <w:t xml:space="preserve">18 / word</w:t>
            </w:r>
          </w:p>
        </w:tc>
        <w:tc>
          <w:tcPr/>
          <w:p>
            <w:pPr>
              <w:pStyle w:val="Compact"/>
              <w:jc w:val="left"/>
            </w:pPr>
            <w:r>
              <w:t xml:space="preserve">24,000</w:t>
            </w:r>
          </w:p>
        </w:tc>
      </w:tr>
      <w:tr>
        <w:tc>
          <w:tcPr/>
          <w:p>
            <w:pPr>
              <w:pStyle w:val="Compact"/>
              <w:jc w:val="left"/>
            </w:pPr>
            <w:r>
              <w:t xml:space="preserve">4</w:t>
            </w:r>
          </w:p>
        </w:tc>
        <w:tc>
          <w:tcPr/>
          <w:p>
            <w:pPr>
              <w:pStyle w:val="Compact"/>
              <w:jc w:val="left"/>
            </w:pPr>
            <w:r>
              <w:t xml:space="preserve">Photographic and video documentation by the</w:t>
            </w:r>
            <w:r>
              <w:t xml:space="preserve"> </w:t>
            </w:r>
            <w:r>
              <w:t xml:space="preserve">Journalist</w:t>
            </w:r>
            <w:r>
              <w:t xml:space="preserve"> </w:t>
            </w:r>
            <w:r>
              <w:t xml:space="preserve">team during field assignments in</w:t>
            </w:r>
            <w:r>
              <w:t xml:space="preserve"> </w:t>
            </w:r>
            <w:r>
              <w:t xml:space="preserve">Saudi Arabia Jeddah</w:t>
            </w:r>
          </w:p>
        </w:tc>
        <w:tc>
          <w:tcPr/>
          <w:p>
            <w:pPr>
              <w:pStyle w:val="Compact"/>
              <w:jc w:val="left"/>
            </w:pPr>
            <w:r>
              <w:t xml:space="preserve">10 days</w:t>
            </w:r>
          </w:p>
        </w:tc>
        <w:tc>
          <w:tcPr/>
          <w:p>
            <w:pPr>
              <w:pStyle w:val="Compact"/>
              <w:jc w:val="left"/>
            </w:pPr>
            <w:r>
              <w:t xml:space="preserve">3,500 / day</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Editorial review, legal compliance check (CMA regulations), and final proofreading</w:t>
            </w:r>
          </w:p>
        </w:tc>
        <w:tc>
          <w:tcPr/>
          <w:p>
            <w:pPr>
              <w:pStyle w:val="Compact"/>
              <w:jc w:val="left"/>
            </w:pPr>
            <w:r>
              <w:t xml:space="preserve">Per deliverable</w:t>
            </w:r>
          </w:p>
        </w:tc>
        <w:tc>
          <w:tcPr/>
          <w:p>
            <w:pPr>
              <w:pStyle w:val="Compact"/>
              <w:jc w:val="left"/>
            </w:pPr>
            <w:r>
              <w:t xml:space="preserve">1,200 / article</w:t>
            </w:r>
          </w:p>
        </w:tc>
        <w:tc>
          <w:tcPr/>
          <w:p>
            <w:pPr>
              <w:pStyle w:val="Compact"/>
              <w:jc w:val="left"/>
            </w:pPr>
            <w:r>
              <w:t xml:space="preserve">18,000</w:t>
            </w:r>
          </w:p>
        </w:tc>
      </w:tr>
      <w:tr>
        <w:tc>
          <w:tcPr/>
          <w:p>
            <w:pPr>
              <w:pStyle w:val="Compact"/>
              <w:jc w:val="left"/>
            </w:pPr>
            <w:r>
              <w:t xml:space="preserve">6</w:t>
            </w:r>
          </w:p>
        </w:tc>
        <w:tc>
          <w:tcPr/>
          <w:p>
            <w:pPr>
              <w:pStyle w:val="Compact"/>
              <w:jc w:val="left"/>
            </w:pPr>
            <w:r>
              <w:t xml:space="preserve">Local transportation, permits, and logistical support for the</w:t>
            </w:r>
            <w:r>
              <w:t xml:space="preserve"> </w:t>
            </w:r>
            <w:r>
              <w:t xml:space="preserve">Journalist</w:t>
            </w:r>
            <w:r>
              <w:t xml:space="preserve"> </w:t>
            </w:r>
            <w:r>
              <w:t xml:space="preserve">team across Jeddah</w:t>
            </w:r>
          </w:p>
        </w:tc>
        <w:tc>
          <w:tcPr/>
          <w:p>
            <w:pPr>
              <w:pStyle w:val="Compact"/>
              <w:jc w:val="left"/>
            </w:pPr>
            <w:r>
              <w:t xml:space="preserve">30 days</w:t>
            </w:r>
          </w:p>
        </w:tc>
        <w:tc>
          <w:tcPr/>
          <w:p>
            <w:pPr>
              <w:pStyle w:val="Compact"/>
              <w:jc w:val="left"/>
            </w:pPr>
            <w:r>
              <w:t xml:space="preserve">800 / day</w:t>
            </w:r>
          </w:p>
        </w:tc>
        <w:tc>
          <w:tcPr/>
          <w:p>
            <w:pPr>
              <w:pStyle w:val="Compact"/>
              <w:jc w:val="left"/>
            </w:pPr>
            <w:r>
              <w:t xml:space="preserve">24,000</w:t>
            </w:r>
          </w:p>
        </w:tc>
      </w:tr>
      <w:tr>
        <w:tc>
          <w:tcPr/>
          <w:p>
            <w:pPr>
              <w:pStyle w:val="Compact"/>
              <w:jc w:val="left"/>
            </w:pPr>
            <w:r>
              <w:t xml:space="preserve">7</w:t>
            </w:r>
          </w:p>
        </w:tc>
        <w:tc>
          <w:tcPr/>
          <w:p>
            <w:pPr>
              <w:pStyle w:val="Compact"/>
              <w:jc w:val="left"/>
            </w:pPr>
            <w:r>
              <w:t xml:space="preserve">Project management and client liaison (dedicated account manager in</w:t>
            </w:r>
            <w:r>
              <w:t xml:space="preserve"> </w:t>
            </w:r>
            <w:r>
              <w:t xml:space="preserve">Saudi Arabia Jeddah</w:t>
            </w:r>
            <w:r>
              <w:t xml:space="preserve">)</w:t>
            </w:r>
          </w:p>
        </w:tc>
        <w:tc>
          <w:tcPr/>
          <w:p>
            <w:pPr>
              <w:pStyle w:val="Compact"/>
              <w:jc w:val="left"/>
            </w:pPr>
            <w:r>
              <w:t xml:space="preserve">30 days</w:t>
            </w:r>
          </w:p>
        </w:tc>
        <w:tc>
          <w:tcPr/>
          <w:p>
            <w:pPr>
              <w:pStyle w:val="Compact"/>
              <w:jc w:val="left"/>
            </w:pPr>
            <w:r>
              <w:t xml:space="preserve">1,500 / day</w:t>
            </w:r>
          </w:p>
        </w:tc>
        <w:tc>
          <w:tcPr/>
          <w:p>
            <w:pPr>
              <w:pStyle w:val="Compact"/>
              <w:jc w:val="left"/>
            </w:pPr>
            <w:r>
              <w:t xml:space="preserve">45,000</w:t>
            </w:r>
          </w:p>
        </w:tc>
      </w:tr>
      <w:tr>
        <w:tc>
          <w:tcPr>
            <w:gridSpan w:val="4"/>
          </w:tcPr>
          <w:p>
            <w:pPr>
              <w:pStyle w:val="Compact"/>
              <w:jc w:val="right"/>
            </w:pPr>
            <w:r>
              <w:t xml:space="preserve">Subtotal</w:t>
            </w:r>
          </w:p>
        </w:tc>
        <w:tc>
          <w:tcPr/>
          <w:p>
            <w:pPr>
              <w:pStyle w:val="Compact"/>
              <w:jc w:val="left"/>
            </w:pPr>
            <w:r>
              <w:t xml:space="preserve">347,000</w:t>
            </w:r>
          </w:p>
        </w:tc>
      </w:tr>
      <w:tr>
        <w:tc>
          <w:tcPr>
            <w:gridSpan w:val="4"/>
          </w:tcPr>
          <w:p>
            <w:pPr>
              <w:pStyle w:val="Compact"/>
              <w:jc w:val="right"/>
            </w:pPr>
            <w:r>
              <w:t xml:space="preserve">VAT (15%)</w:t>
            </w:r>
          </w:p>
        </w:tc>
        <w:tc>
          <w:tcPr/>
          <w:p>
            <w:pPr>
              <w:pStyle w:val="Compact"/>
              <w:jc w:val="left"/>
            </w:pPr>
            <w:r>
              <w:t xml:space="preserve">52,050</w:t>
            </w:r>
          </w:p>
        </w:tc>
      </w:tr>
      <w:tr>
        <w:tc>
          <w:tcPr>
            <w:gridSpan w:val="4"/>
          </w:tcPr>
          <w:p>
            <w:pPr>
              <w:pStyle w:val="Compact"/>
              <w:jc w:val="right"/>
            </w:pPr>
            <w:r>
              <w:t xml:space="preserve">Grand Total (SAR)</w:t>
            </w:r>
          </w:p>
        </w:tc>
        <w:tc>
          <w:tcPr/>
          <w:p>
            <w:pPr>
              <w:pStyle w:val="Compact"/>
              <w:jc w:val="left"/>
            </w:pPr>
            <w:r>
              <w:t xml:space="preserve">399,050</w:t>
            </w:r>
          </w:p>
        </w:tc>
      </w:tr>
    </w:tbl>
    <w:bookmarkEnd w:id="24"/>
    <w:bookmarkStart w:id="25" w:name="terms-and-conditions"/>
    <w:p>
      <w:pPr>
        <w:pStyle w:val="Heading2"/>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will require a revised</w:t>
      </w:r>
      <w:r>
        <w:t xml:space="preserve"> </w:t>
      </w:r>
      <w:r>
        <w:t xml:space="preserve">Quotation Estimate</w:t>
      </w:r>
      <w:r>
        <w:t xml:space="preserve"> </w:t>
      </w:r>
      <w:r>
        <w:t xml:space="preserve">reflecting current market rates for</w:t>
      </w:r>
      <w:r>
        <w:t xml:space="preserve"> </w:t>
      </w:r>
      <w:r>
        <w:t xml:space="preserve">Journalist</w:t>
      </w:r>
      <w:r>
        <w:t xml:space="preserve"> </w:t>
      </w:r>
      <w:r>
        <w:t xml:space="preserve">services in</w:t>
      </w:r>
      <w:r>
        <w:t xml:space="preserve"> </w:t>
      </w:r>
      <w:r>
        <w:t xml:space="preserve">Saudi Arabia Jeddah</w:t>
      </w:r>
      <w:r>
        <w:t xml:space="preserve">.</w:t>
      </w:r>
    </w:p>
    <w:p>
      <w:pPr>
        <w:numPr>
          <w:ilvl w:val="0"/>
          <w:numId w:val="1001"/>
        </w:numPr>
        <w:pStyle w:val="Compact"/>
      </w:pPr>
      <w:r>
        <w:t xml:space="preserve">Payment terms: 40% advance upon acceptance of this</w:t>
      </w:r>
      <w:r>
        <w:t xml:space="preserve"> </w:t>
      </w:r>
      <w:r>
        <w:t xml:space="preserve">Quotation Estimate</w:t>
      </w:r>
      <w:r>
        <w:t xml:space="preserve">, 40% upon completion of the first fifteen (15) days of</w:t>
      </w:r>
      <w:r>
        <w:t xml:space="preserve"> </w:t>
      </w:r>
      <w:r>
        <w:t xml:space="preserve">Journalist</w:t>
      </w:r>
      <w:r>
        <w:t xml:space="preserve"> </w:t>
      </w:r>
      <w:r>
        <w:t xml:space="preserve">fieldwork, and the remaining 20% upon final delivery and client sign-off. All payments shall be made in Saudi Riyals (SAR) via bank transfer to our account at Al Rajhi Bank, Jeddah branch.</w:t>
      </w:r>
    </w:p>
    <w:p>
      <w:pPr>
        <w:numPr>
          <w:ilvl w:val="0"/>
          <w:numId w:val="1001"/>
        </w:numPr>
        <w:pStyle w:val="Compact"/>
      </w:pPr>
      <w:r>
        <w:t xml:space="preserve">All</w:t>
      </w:r>
      <w:r>
        <w:t xml:space="preserve"> </w:t>
      </w:r>
      <w:r>
        <w:t xml:space="preserve">Journalist</w:t>
      </w:r>
      <w:r>
        <w:t xml:space="preserve"> </w:t>
      </w:r>
      <w:r>
        <w:t xml:space="preserve">personnel engaged under this contract will hold valid Saudi residency (Iqama) and, where applicable, a Saudi press card issued by the CMA. MediaPro Communications Jeddah assumes full responsibility for the legal compliance of its</w:t>
      </w:r>
      <w:r>
        <w:t xml:space="preserve"> </w:t>
      </w:r>
      <w:r>
        <w:t xml:space="preserve">Journalist</w:t>
      </w:r>
      <w:r>
        <w:t xml:space="preserve"> </w:t>
      </w:r>
      <w:r>
        <w:t xml:space="preserve">staff operating within</w:t>
      </w:r>
      <w:r>
        <w:t xml:space="preserve"> </w:t>
      </w:r>
      <w:r>
        <w:t xml:space="preserve">Saudi Arabia Jeddah</w:t>
      </w:r>
      <w:r>
        <w:t xml:space="preserve">.</w:t>
      </w:r>
    </w:p>
    <w:p>
      <w:pPr>
        <w:numPr>
          <w:ilvl w:val="0"/>
          <w:numId w:val="1001"/>
        </w:numPr>
        <w:pStyle w:val="Compact"/>
      </w:pPr>
      <w:r>
        <w:t xml:space="preserve">The</w:t>
      </w:r>
      <w:r>
        <w:t xml:space="preserve"> </w:t>
      </w:r>
      <w:r>
        <w:t xml:space="preserve">Journalist</w:t>
      </w:r>
      <w:r>
        <w:t xml:space="preserve"> </w:t>
      </w:r>
      <w:r>
        <w:t xml:space="preserve">team will adhere to the Saudi Press Law, the CMA content guidelines, and all applicable municipal regulations in Jeddah. No content will be published or distributed without prior written approval from the client and compliance verification by our legal team.</w:t>
      </w:r>
    </w:p>
    <w:p>
      <w:pPr>
        <w:numPr>
          <w:ilvl w:val="0"/>
          <w:numId w:val="1001"/>
        </w:numPr>
        <w:pStyle w:val="Compact"/>
      </w:pPr>
      <w:r>
        <w:t xml:space="preserve">Any additional services beyond the scope defined in this</w:t>
      </w:r>
      <w:r>
        <w:t xml:space="preserve"> </w:t>
      </w:r>
      <w:r>
        <w:t xml:space="preserve">Quotation Estimate</w:t>
      </w:r>
      <w:r>
        <w:t xml:space="preserve">—such as extended</w:t>
      </w:r>
      <w:r>
        <w:t xml:space="preserve"> </w:t>
      </w:r>
      <w:r>
        <w:t xml:space="preserve">Journalist</w:t>
      </w:r>
      <w:r>
        <w:t xml:space="preserve"> </w:t>
      </w:r>
      <w:r>
        <w:t xml:space="preserve">assignments outside Jeddah, international correspondents, or specialized investigative reporting—will be subject to a supplementary</w:t>
      </w:r>
      <w:r>
        <w:t xml:space="preserve"> </w:t>
      </w:r>
      <w:r>
        <w:t xml:space="preserve">Quotation Estimate</w:t>
      </w:r>
      <w:r>
        <w:t xml:space="preserve"> </w:t>
      </w:r>
      <w:r>
        <w:t xml:space="preserve">issued within five (5) business days.</w:t>
      </w:r>
    </w:p>
    <w:p>
      <w:pPr>
        <w:numPr>
          <w:ilvl w:val="0"/>
          <w:numId w:val="1001"/>
        </w:numPr>
        <w:pStyle w:val="Compact"/>
      </w:pPr>
      <w:r>
        <w:t xml:space="preserve">Confidentiality: All information, source materials, and unpublished</w:t>
      </w:r>
      <w:r>
        <w:t xml:space="preserve"> </w:t>
      </w:r>
      <w:r>
        <w:t xml:space="preserve">Journalist</w:t>
      </w:r>
      <w:r>
        <w:t xml:space="preserve"> </w:t>
      </w:r>
      <w:r>
        <w:t xml:space="preserve">work product generated during the engagement in</w:t>
      </w:r>
      <w:r>
        <w:t xml:space="preserve"> </w:t>
      </w:r>
      <w:r>
        <w:t xml:space="preserve">Saudi Arabia Jeddah</w:t>
      </w:r>
      <w:r>
        <w:t xml:space="preserve"> </w:t>
      </w:r>
      <w:r>
        <w:t xml:space="preserve">shall remain the exclusive property of the client. MediaPro Communications Jeddah shall not disclose, reproduce, or distribute any such materials without express written consent.</w:t>
      </w:r>
    </w:p>
    <w:p>
      <w:pPr>
        <w:numPr>
          <w:ilvl w:val="0"/>
          <w:numId w:val="1001"/>
        </w:numPr>
        <w:pStyle w:val="Compact"/>
      </w:pPr>
      <w:r>
        <w:t xml:space="preserve">Force Majeure: Neither party shall be liable for delays or non-performance caused by events beyond reasonable control, including but not limited to government directives, public health emergencies, or restrictions on media operations in</w:t>
      </w:r>
      <w:r>
        <w:t xml:space="preserve"> </w:t>
      </w:r>
      <w:r>
        <w:t xml:space="preserve">Saudi Arabia Jeddah</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countersigned by both parties. The governing law for this engagement shall be the laws of the Kingdom of Saudi Arabia, and any disputes shall be resolved through the competent courts in Jeddah.</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the terms, scope, and pricing outlined in this</w:t>
      </w:r>
      <w:r>
        <w:t xml:space="preserve"> </w:t>
      </w:r>
      <w:r>
        <w:t xml:space="preserve">Quotation Estimate</w:t>
      </w:r>
      <w:r>
        <w:t xml:space="preserve"> </w:t>
      </w:r>
      <w:r>
        <w:t xml:space="preserve">for</w:t>
      </w:r>
      <w:r>
        <w:t xml:space="preserve"> </w:t>
      </w:r>
      <w:r>
        <w:t xml:space="preserve">Journalist</w:t>
      </w:r>
      <w:r>
        <w:t xml:space="preserve"> </w:t>
      </w:r>
      <w:r>
        <w:t xml:space="preserve">services to be rendered in</w:t>
      </w:r>
      <w:r>
        <w:t xml:space="preserve"> </w:t>
      </w:r>
      <w:r>
        <w:t xml:space="preserve">Saudi Arabia Jeddah</w:t>
      </w:r>
      <w:r>
        <w:t xml:space="preserve">.</w:t>
      </w:r>
    </w:p>
    <w:p>
      <w:pPr>
        <w:pStyle w:val="BodyText"/>
      </w:pPr>
      <w:r>
        <w:rPr>
          <w:bCs/>
          <w:b/>
        </w:rPr>
        <w:t xml:space="preserve">For MediaPro Communications Jeddah</w:t>
      </w:r>
    </w:p>
    <w:p>
      <w:pPr>
        <w:pStyle w:val="BodyText"/>
      </w:pPr>
      <w:r>
        <w:t xml:space="preserve">Name: Sarah Al-Otaibi</w:t>
      </w:r>
    </w:p>
    <w:p>
      <w:pPr>
        <w:pStyle w:val="BodyText"/>
      </w:pPr>
      <w:r>
        <w:t xml:space="preserve">Title: Account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MediaPro Communications Jeddah | Quotation Estimate QTE-JED-2025-0387 | Page 1 of 1</w:t>
      </w:r>
    </w:p>
    <w:p>
      <w:pPr>
        <w:pStyle w:val="BodyText"/>
      </w:pPr>
      <w:r>
        <w:t xml:space="preserve">This document is a</w:t>
      </w:r>
      <w:r>
        <w:t xml:space="preserve"> </w:t>
      </w:r>
      <w:r>
        <w:t xml:space="preserve">Quotation Estimate</w:t>
      </w:r>
      <w:r>
        <w:t xml:space="preserve"> </w:t>
      </w:r>
      <w:r>
        <w:t xml:space="preserve">for</w:t>
      </w:r>
      <w:r>
        <w:t xml:space="preserve"> </w:t>
      </w:r>
      <w:r>
        <w:t xml:space="preserve">Journalist</w:t>
      </w:r>
      <w:r>
        <w:t xml:space="preserve"> </w:t>
      </w:r>
      <w:r>
        <w:t xml:space="preserve">services in</w:t>
      </w:r>
      <w:r>
        <w:t xml:space="preserve"> </w:t>
      </w:r>
      <w:r>
        <w:t xml:space="preserve">Saudi Arabia Jeddah</w:t>
      </w:r>
      <w:r>
        <w:t xml:space="preserve"> </w:t>
      </w:r>
      <w:r>
        <w:t xml:space="preserve">and is not a tax invoice. A formal tax invoice will be issued upon contract execution.</w:t>
      </w:r>
    </w:p>
    <w:p>
      <w:pPr>
        <w:pStyle w:val="BodyText"/>
      </w:pPr>
      <w:r>
        <w:t xml:space="preserve">© 2025 MediaPro Communications Jeddah.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Saudi Arabia Jeddah</dc:title>
  <dc:creator/>
  <dc:language>en</dc:language>
  <cp:keywords/>
  <dcterms:created xsi:type="dcterms:W3CDTF">2026-10-10T06:28:04Z</dcterms:created>
  <dcterms:modified xsi:type="dcterms:W3CDTF">2026-10-10T06:28:04Z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