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Journalist Services — Saudi Arabia Riyadh</w:t>
      </w:r>
    </w:p>
    <w:p>
      <w:pPr>
        <w:pStyle w:val="BodyText"/>
      </w:pPr>
      <w:r>
        <w:t xml:space="preserve">Official Estimate Document</w:t>
      </w:r>
    </w:p>
    <w:bookmarkEnd w:id="20"/>
    <w:p>
      <w:pPr>
        <w:pStyle w:val="BodyText"/>
      </w:pPr>
      <w:r>
        <w:rPr>
          <w:bCs/>
          <w:b/>
        </w:rPr>
        <w:t xml:space="preserve">Quotation No.:</w:t>
      </w:r>
      <w:r>
        <w:t xml:space="preserve"> </w:t>
      </w:r>
      <w:r>
        <w:t xml:space="preserve">QTE-SAR-2025-04782</w:t>
      </w:r>
      <w:r>
        <w:br/>
      </w:r>
      <w:r>
        <w:rPr>
          <w:bCs/>
          <w:b/>
        </w:rPr>
        <w:t xml:space="preserve">Date of Issue:</w:t>
      </w:r>
      <w:r>
        <w:t xml:space="preserve"> </w:t>
      </w:r>
      <w:r>
        <w:t xml:space="preserve">15 June 2025</w:t>
      </w:r>
      <w:r>
        <w:br/>
      </w:r>
      <w:r>
        <w:rPr>
          <w:bCs/>
          <w:b/>
        </w:rPr>
        <w:t xml:space="preserve">Validity Period:</w:t>
      </w:r>
      <w:r>
        <w:t xml:space="preserve"> </w:t>
      </w:r>
      <w:r>
        <w:t xml:space="preserve">30 Calendar Days</w:t>
      </w:r>
    </w:p>
    <w:p>
      <w:pPr>
        <w:pStyle w:val="BodyText"/>
      </w:pPr>
      <w:r>
        <w:rPr>
          <w:bCs/>
          <w:b/>
        </w:rPr>
        <w:t xml:space="preserve">Prepared For:</w:t>
      </w:r>
      <w:r>
        <w:t xml:space="preserve"> </w:t>
      </w:r>
      <w:r>
        <w:t xml:space="preserve">Client Name / Organization</w:t>
      </w:r>
      <w:r>
        <w:br/>
      </w:r>
      <w:r>
        <w:rPr>
          <w:bCs/>
          <w:b/>
        </w:rPr>
        <w:t xml:space="preserve">Location:</w:t>
      </w:r>
      <w:r>
        <w:t xml:space="preserve"> </w:t>
      </w:r>
      <w:r>
        <w:t xml:space="preserve">Riyadh, Saudi Arabia</w:t>
      </w:r>
      <w:r>
        <w:br/>
      </w:r>
      <w:r>
        <w:rPr>
          <w:bCs/>
          <w:b/>
        </w:rPr>
        <w:t xml:space="preserve">Service Category:</w:t>
      </w:r>
      <w:r>
        <w:t xml:space="preserve"> </w:t>
      </w:r>
      <w:r>
        <w:t xml:space="preserve">Journalist &amp; Media Services</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professional fees, deliverables, and associated costs for engaging a qualified</w:t>
      </w:r>
      <w:r>
        <w:t xml:space="preserve"> </w:t>
      </w:r>
      <w:r>
        <w:t xml:space="preserve">Journalist</w:t>
      </w:r>
      <w:r>
        <w:t xml:space="preserve"> </w:t>
      </w:r>
      <w:r>
        <w:t xml:space="preserve">to provide comprehensive media and editorial services within the city of</w:t>
      </w:r>
      <w:r>
        <w:t xml:space="preserve"> </w:t>
      </w:r>
      <w:r>
        <w:t xml:space="preserve">Saudi Arabia Riyadh</w:t>
      </w:r>
      <w:r>
        <w:t xml:space="preserve">. This document serves as a formal financial proposal and is intended to give the client a transparent, itemized breakdown of all charges related to the Journalist's professional engagement. All pricing in this Quotation Estimate is denominated in Saudi Riyals (SAR) and reflects current market rates applicable to the Saudi Arabia Riyadh media sector as of the date of issue.</w:t>
      </w:r>
    </w:p>
    <w:bookmarkEnd w:id="21"/>
    <w:bookmarkStart w:id="22" w:name="scope-of-journalist-services"/>
    <w:p>
      <w:pPr>
        <w:pStyle w:val="Heading2"/>
      </w:pPr>
      <w:r>
        <w:t xml:space="preserve">2. Scope of Journalist Services</w:t>
      </w:r>
    </w:p>
    <w:p>
      <w:pPr>
        <w:pStyle w:val="FirstParagraph"/>
      </w:pPr>
      <w:r>
        <w:t xml:space="preserve">The Journalist engaged under this Quotation Estimate will deliver the following professional services tailored to the needs of the client operating in Saudi Arabia Riyadh:</w:t>
      </w:r>
    </w:p>
    <w:p>
      <w:pPr>
        <w:numPr>
          <w:ilvl w:val="0"/>
          <w:numId w:val="1001"/>
        </w:numPr>
        <w:pStyle w:val="Compact"/>
      </w:pPr>
      <w:r>
        <w:t xml:space="preserve">On-site news gathering, reporting, and editorial content production within the Riyadh metropolitan area and surrounding regions of Saudi Arabia.</w:t>
      </w:r>
    </w:p>
    <w:p>
      <w:pPr>
        <w:numPr>
          <w:ilvl w:val="0"/>
          <w:numId w:val="1001"/>
        </w:numPr>
        <w:pStyle w:val="Compact"/>
      </w:pPr>
      <w:r>
        <w:t xml:space="preserve">Preparation of press releases, feature articles, and long-form investigative pieces aligned with the client's communication objectives.</w:t>
      </w:r>
    </w:p>
    <w:p>
      <w:pPr>
        <w:numPr>
          <w:ilvl w:val="0"/>
          <w:numId w:val="1001"/>
        </w:numPr>
        <w:pStyle w:val="Compact"/>
      </w:pPr>
      <w:r>
        <w:t xml:space="preserve">Conducting interviews with key stakeholders, government officials, and industry leaders in Saudi Arabia Riyadh.</w:t>
      </w:r>
    </w:p>
    <w:p>
      <w:pPr>
        <w:numPr>
          <w:ilvl w:val="0"/>
          <w:numId w:val="1001"/>
        </w:numPr>
        <w:pStyle w:val="Compact"/>
      </w:pPr>
      <w:r>
        <w:t xml:space="preserve">Live event coverage including press conferences, corporate announcements, and cultural events held in Riyadh.</w:t>
      </w:r>
    </w:p>
    <w:p>
      <w:pPr>
        <w:numPr>
          <w:ilvl w:val="0"/>
          <w:numId w:val="1001"/>
        </w:numPr>
        <w:pStyle w:val="Compact"/>
      </w:pPr>
      <w:r>
        <w:t xml:space="preserve">Translation and bilingual content development (Arabic and English) to ensure broad reach across the Saudi Arabia Riyadh audience.</w:t>
      </w:r>
    </w:p>
    <w:p>
      <w:pPr>
        <w:numPr>
          <w:ilvl w:val="0"/>
          <w:numId w:val="1001"/>
        </w:numPr>
        <w:pStyle w:val="Compact"/>
      </w:pPr>
      <w:r>
        <w:t xml:space="preserve">Media strategy consultation and editorial planning sessions conducted in person at the client's Riyadh office or a mutually agreed location.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Journalist — Daily Editorial &amp; Reporting (Saudi Arabia Riyadh)</w:t>
            </w:r>
          </w:p>
        </w:tc>
        <w:tc>
          <w:tcPr/>
          <w:p>
            <w:pPr>
              <w:pStyle w:val="Compact"/>
              <w:jc w:val="left"/>
            </w:pPr>
            <w:r>
              <w:t xml:space="preserve">20 working days</w:t>
            </w:r>
          </w:p>
        </w:tc>
        <w:tc>
          <w:tcPr/>
          <w:p>
            <w:pPr>
              <w:pStyle w:val="Compact"/>
              <w:jc w:val="left"/>
            </w:pPr>
            <w:r>
              <w:t xml:space="preserve">2,500</w:t>
            </w:r>
          </w:p>
        </w:tc>
        <w:tc>
          <w:tcPr/>
          <w:p>
            <w:pPr>
              <w:pStyle w:val="Compact"/>
              <w:jc w:val="left"/>
            </w:pPr>
            <w:r>
              <w:t xml:space="preserve">50,000</w:t>
            </w:r>
          </w:p>
        </w:tc>
      </w:tr>
      <w:tr>
        <w:tc>
          <w:tcPr/>
          <w:p>
            <w:pPr>
              <w:pStyle w:val="Compact"/>
              <w:jc w:val="left"/>
            </w:pPr>
            <w:r>
              <w:t xml:space="preserve">02</w:t>
            </w:r>
          </w:p>
        </w:tc>
        <w:tc>
          <w:tcPr/>
          <w:p>
            <w:pPr>
              <w:pStyle w:val="Compact"/>
              <w:jc w:val="left"/>
            </w:pPr>
            <w:r>
              <w:t xml:space="preserve">Live Event Coverage &amp; Press Conference Reporting</w:t>
            </w:r>
          </w:p>
        </w:tc>
        <w:tc>
          <w:tcPr/>
          <w:p>
            <w:pPr>
              <w:pStyle w:val="Compact"/>
              <w:jc w:val="left"/>
            </w:pPr>
            <w:r>
              <w:t xml:space="preserve">4 events</w:t>
            </w:r>
          </w:p>
        </w:tc>
        <w:tc>
          <w:tcPr/>
          <w:p>
            <w:pPr>
              <w:pStyle w:val="Compact"/>
              <w:jc w:val="left"/>
            </w:pPr>
            <w:r>
              <w:t xml:space="preserve">4,500</w:t>
            </w:r>
          </w:p>
        </w:tc>
        <w:tc>
          <w:tcPr/>
          <w:p>
            <w:pPr>
              <w:pStyle w:val="Compact"/>
              <w:jc w:val="left"/>
            </w:pPr>
            <w:r>
              <w:t xml:space="preserve">18,000</w:t>
            </w:r>
          </w:p>
        </w:tc>
      </w:tr>
      <w:tr>
        <w:tc>
          <w:tcPr/>
          <w:p>
            <w:pPr>
              <w:pStyle w:val="Compact"/>
              <w:jc w:val="left"/>
            </w:pPr>
            <w:r>
              <w:t xml:space="preserve">03</w:t>
            </w:r>
          </w:p>
        </w:tc>
        <w:tc>
          <w:tcPr/>
          <w:p>
            <w:pPr>
              <w:pStyle w:val="Compact"/>
              <w:jc w:val="left"/>
            </w:pPr>
            <w:r>
              <w:t xml:space="preserve">Bilingual Content Production (Arabic / English)</w:t>
            </w:r>
          </w:p>
        </w:tc>
        <w:tc>
          <w:tcPr/>
          <w:p>
            <w:pPr>
              <w:pStyle w:val="Compact"/>
              <w:jc w:val="left"/>
            </w:pPr>
            <w:r>
              <w:t xml:space="preserve">12 articles</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04</w:t>
            </w:r>
          </w:p>
        </w:tc>
        <w:tc>
          <w:tcPr/>
          <w:p>
            <w:pPr>
              <w:pStyle w:val="Compact"/>
              <w:jc w:val="left"/>
            </w:pPr>
            <w:r>
              <w:t xml:space="preserve">Media Strategy Consultation &amp; Editorial Planning</w:t>
            </w:r>
          </w:p>
        </w:tc>
        <w:tc>
          <w:tcPr/>
          <w:p>
            <w:pPr>
              <w:pStyle w:val="Compact"/>
              <w:jc w:val="left"/>
            </w:pPr>
            <w:r>
              <w:t xml:space="preserve">6 sessions</w:t>
            </w:r>
          </w:p>
        </w:tc>
        <w:tc>
          <w:tcPr/>
          <w:p>
            <w:pPr>
              <w:pStyle w:val="Compact"/>
              <w:jc w:val="left"/>
            </w:pPr>
            <w:r>
              <w:t xml:space="preserve">1,200</w:t>
            </w:r>
          </w:p>
        </w:tc>
        <w:tc>
          <w:tcPr/>
          <w:p>
            <w:pPr>
              <w:pStyle w:val="Compact"/>
              <w:jc w:val="left"/>
            </w:pPr>
            <w:r>
              <w:t xml:space="preserve">7,200</w:t>
            </w:r>
          </w:p>
        </w:tc>
      </w:tr>
      <w:tr>
        <w:tc>
          <w:tcPr/>
          <w:p>
            <w:pPr>
              <w:pStyle w:val="Compact"/>
              <w:jc w:val="left"/>
            </w:pPr>
            <w:r>
              <w:t xml:space="preserve">05</w:t>
            </w:r>
          </w:p>
        </w:tc>
        <w:tc>
          <w:tcPr/>
          <w:p>
            <w:pPr>
              <w:pStyle w:val="Compact"/>
              <w:jc w:val="left"/>
            </w:pPr>
            <w:r>
              <w:t xml:space="preserve">Travel &amp; Local Transportation within Riyadh, Saudi Arabia</w:t>
            </w:r>
          </w:p>
        </w:tc>
        <w:tc>
          <w:tcPr/>
          <w:p>
            <w:pPr>
              <w:pStyle w:val="Compact"/>
              <w:jc w:val="left"/>
            </w:pPr>
            <w:r>
              <w:t xml:space="preserve">20 days</w:t>
            </w:r>
          </w:p>
        </w:tc>
        <w:tc>
          <w:tcPr/>
          <w:p>
            <w:pPr>
              <w:pStyle w:val="Compact"/>
              <w:jc w:val="left"/>
            </w:pPr>
            <w:r>
              <w:t xml:space="preserve">350</w:t>
            </w:r>
          </w:p>
        </w:tc>
        <w:tc>
          <w:tcPr/>
          <w:p>
            <w:pPr>
              <w:pStyle w:val="Compact"/>
              <w:jc w:val="left"/>
            </w:pPr>
            <w:r>
              <w:t xml:space="preserve">7,000</w:t>
            </w:r>
          </w:p>
        </w:tc>
      </w:tr>
      <w:tr>
        <w:tc>
          <w:tcPr/>
          <w:p>
            <w:pPr>
              <w:pStyle w:val="Compact"/>
              <w:jc w:val="left"/>
            </w:pPr>
            <w:r>
              <w:t xml:space="preserve">06</w:t>
            </w:r>
          </w:p>
        </w:tc>
        <w:tc>
          <w:tcPr/>
          <w:p>
            <w:pPr>
              <w:pStyle w:val="Compact"/>
              <w:jc w:val="left"/>
            </w:pPr>
            <w:r>
              <w:t xml:space="preserve">Equipment &amp; Recording Supplies (Audio, Camera, Storage)</w:t>
            </w:r>
          </w:p>
        </w:tc>
        <w:tc>
          <w:tcPr/>
          <w:p>
            <w:pPr>
              <w:pStyle w:val="Compact"/>
              <w:jc w:val="left"/>
            </w:pPr>
            <w:r>
              <w:t xml:space="preserve">1 package</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07</w:t>
            </w:r>
          </w:p>
        </w:tc>
        <w:tc>
          <w:tcPr/>
          <w:p>
            <w:pPr>
              <w:pStyle w:val="Compact"/>
              <w:jc w:val="left"/>
            </w:pPr>
            <w:r>
              <w:t xml:space="preserve">Urgent / After-Hours Availability Surcharge</w:t>
            </w:r>
          </w:p>
        </w:tc>
        <w:tc>
          <w:tcPr/>
          <w:p>
            <w:pPr>
              <w:pStyle w:val="Compact"/>
              <w:jc w:val="left"/>
            </w:pPr>
            <w:r>
              <w:t xml:space="preserve">As required</w:t>
            </w:r>
          </w:p>
        </w:tc>
        <w:tc>
          <w:tcPr/>
          <w:p>
            <w:pPr>
              <w:pStyle w:val="Compact"/>
              <w:jc w:val="left"/>
            </w:pPr>
            <w:r>
              <w:t xml:space="preserve">1,000</w:t>
            </w:r>
          </w:p>
        </w:tc>
        <w:tc>
          <w:tcPr/>
          <w:p>
            <w:pPr>
              <w:pStyle w:val="Compact"/>
              <w:jc w:val="left"/>
            </w:pPr>
            <w:r>
              <w:t xml:space="preserve">3,000</w:t>
            </w:r>
          </w:p>
        </w:tc>
      </w:tr>
      <w:tr>
        <w:tc>
          <w:tcPr>
            <w:gridSpan w:val="4"/>
          </w:tcPr>
          <w:p>
            <w:pPr>
              <w:pStyle w:val="Compact"/>
              <w:jc w:val="left"/>
            </w:pPr>
            <w:r>
              <w:t xml:space="preserve">Subtotal (SAR)</w:t>
            </w:r>
          </w:p>
        </w:tc>
        <w:tc>
          <w:tcPr/>
          <w:p>
            <w:pPr>
              <w:pStyle w:val="Compact"/>
              <w:jc w:val="left"/>
            </w:pPr>
            <w:r>
              <w:t xml:space="preserve">112,300</w:t>
            </w:r>
          </w:p>
        </w:tc>
      </w:tr>
      <w:tr>
        <w:tc>
          <w:tcPr>
            <w:gridSpan w:val="4"/>
          </w:tcPr>
          <w:p>
            <w:pPr>
              <w:pStyle w:val="Compact"/>
              <w:jc w:val="left"/>
            </w:pPr>
            <w:r>
              <w:t xml:space="preserve">VAT @ 15% (Saudi Arabia Tax Authority)</w:t>
            </w:r>
          </w:p>
        </w:tc>
        <w:tc>
          <w:tcPr/>
          <w:p>
            <w:pPr>
              <w:pStyle w:val="Compact"/>
              <w:jc w:val="left"/>
            </w:pPr>
            <w:r>
              <w:t xml:space="preserve">16,845</w:t>
            </w:r>
          </w:p>
        </w:tc>
      </w:tr>
      <w:tr>
        <w:tc>
          <w:tcPr>
            <w:gridSpan w:val="4"/>
          </w:tcPr>
          <w:p>
            <w:pPr>
              <w:pStyle w:val="Compact"/>
              <w:jc w:val="left"/>
            </w:pPr>
            <w:r>
              <w:t xml:space="preserve">Grand Total (SAR)</w:t>
            </w:r>
          </w:p>
        </w:tc>
        <w:tc>
          <w:tcPr/>
          <w:p>
            <w:pPr>
              <w:pStyle w:val="Compact"/>
              <w:jc w:val="left"/>
            </w:pPr>
            <w:r>
              <w:t xml:space="preserve">129,145</w:t>
            </w:r>
          </w:p>
        </w:tc>
      </w:tr>
    </w:tbl>
    <w:bookmarkEnd w:id="23"/>
    <w:bookmarkStart w:id="24" w:name="payment-terms-conditions"/>
    <w:p>
      <w:pPr>
        <w:pStyle w:val="Heading2"/>
      </w:pPr>
      <w:r>
        <w:t xml:space="preserve">4. Payment Terms &amp; Conditions</w:t>
      </w:r>
    </w:p>
    <w:p>
      <w:pPr>
        <w:pStyle w:val="FirstParagraph"/>
      </w:pPr>
      <w:r>
        <w:t xml:space="preserve">Payment for the services outlined in this Quotation Estimate shall be made in accordance with the following schedule:</w:t>
      </w:r>
    </w:p>
    <w:p>
      <w:pPr>
        <w:numPr>
          <w:ilvl w:val="0"/>
          <w:numId w:val="1002"/>
        </w:numPr>
        <w:pStyle w:val="Compact"/>
      </w:pPr>
      <w:r>
        <w:rPr>
          <w:bCs/>
          <w:b/>
        </w:rPr>
        <w:t xml:space="preserve">Advance Payment:</w:t>
      </w:r>
      <w:r>
        <w:t xml:space="preserve"> </w:t>
      </w:r>
      <w:r>
        <w:t xml:space="preserve">40% of the Grand Total (SAR 51,658) due upon acceptance of this Quotation Estimate and execution of the service agreement.</w:t>
      </w:r>
    </w:p>
    <w:p>
      <w:pPr>
        <w:numPr>
          <w:ilvl w:val="0"/>
          <w:numId w:val="1002"/>
        </w:numPr>
        <w:pStyle w:val="Compact"/>
      </w:pPr>
      <w:r>
        <w:rPr>
          <w:bCs/>
          <w:b/>
        </w:rPr>
        <w:t xml:space="preserve">Mid-Project Payment:</w:t>
      </w:r>
      <w:r>
        <w:t xml:space="preserve"> </w:t>
      </w:r>
      <w:r>
        <w:t xml:space="preserve">35% of the Grand Total (SAR 45,201) due upon completion of the first ten (10) working days of Journalist engagement in Saudi Arabia Riyadh.</w:t>
      </w:r>
    </w:p>
    <w:p>
      <w:pPr>
        <w:numPr>
          <w:ilvl w:val="0"/>
          <w:numId w:val="1002"/>
        </w:numPr>
        <w:pStyle w:val="Compact"/>
      </w:pPr>
      <w:r>
        <w:rPr>
          <w:bCs/>
          <w:b/>
        </w:rPr>
        <w:t xml:space="preserve">Final Payment:</w:t>
      </w:r>
      <w:r>
        <w:t xml:space="preserve"> </w:t>
      </w:r>
      <w:r>
        <w:t xml:space="preserve">25% of the Grand Total (SAR 32,286) due upon final delivery of all editorial content and completion of the engagement period.</w:t>
      </w:r>
    </w:p>
    <w:p>
      <w:pPr>
        <w:pStyle w:val="FirstParagraph"/>
      </w:pPr>
      <w:r>
        <w:t xml:space="preserve">All payments shall be processed via bank transfer to the designated account of the service provider. Late payments exceeding fifteen (15) calendar days from the due date shall incur a penalty of 2% per month, in compliance with commercial regulations in Saudi Arabia.</w:t>
      </w:r>
    </w:p>
    <w:bookmarkEnd w:id="24"/>
    <w:bookmarkStart w:id="25" w:name="validity-acceptance"/>
    <w:p>
      <w:pPr>
        <w:pStyle w:val="Heading2"/>
      </w:pPr>
      <w:r>
        <w:t xml:space="preserve">5. Validity &amp; Acceptance</w:t>
      </w:r>
    </w:p>
    <w:p>
      <w:pPr>
        <w:pStyle w:val="FirstParagraph"/>
      </w:pPr>
      <w:r>
        <w:t xml:space="preserve">This Quotation Estimate is valid for a period of thirty (30) calendar days from the date of issue. Should the client wish to proceed beyond this validity window, a revised Quotation Estimate reflecting any changes in market rates, exchange considerations, or scope modifications will be issued. Acceptance of this Quotation Estimate constitutes agreement to all terms, conditions, and pricing as stated herein. The Journalist's engagement in Saudi Arabia Riyadh is contingent upon the client providing necessary access credentials, press credentials, and any required permits from the relevant Saudi authorities.</w:t>
      </w:r>
    </w:p>
    <w:p>
      <w:pPr>
        <w:pStyle w:val="BodyText"/>
      </w:pPr>
      <w:r>
        <w:rPr>
          <w:bCs/>
          <w:b/>
        </w:rPr>
        <w:t xml:space="preserve">Important Notes:</w:t>
      </w:r>
    </w:p>
    <w:p>
      <w:pPr>
        <w:numPr>
          <w:ilvl w:val="0"/>
          <w:numId w:val="1003"/>
        </w:numPr>
        <w:pStyle w:val="Compact"/>
      </w:pPr>
      <w:r>
        <w:t xml:space="preserve">All services will be performed in full compliance with the media and press regulations of the Kingdom of Saudi Arabia, including the requirements of the Saudi Press Agency (SPA) and the Communications, Space &amp; Technology Commission (CST).</w:t>
      </w:r>
    </w:p>
    <w:p>
      <w:pPr>
        <w:numPr>
          <w:ilvl w:val="0"/>
          <w:numId w:val="1003"/>
        </w:numPr>
        <w:pStyle w:val="Compact"/>
      </w:pPr>
      <w:r>
        <w:t xml:space="preserve">The Journalist will adhere to the client's editorial guidelines and brand voice as established during the initial planning phase in Riyadh.</w:t>
      </w:r>
    </w:p>
    <w:p>
      <w:pPr>
        <w:numPr>
          <w:ilvl w:val="0"/>
          <w:numId w:val="1003"/>
        </w:numPr>
        <w:pStyle w:val="Compact"/>
      </w:pPr>
      <w:r>
        <w:t xml:space="preserve">Any additional services beyond the scope defined in this Quotation Estimate will be subject to a separate supplementary estimate.</w:t>
      </w:r>
    </w:p>
    <w:p>
      <w:pPr>
        <w:numPr>
          <w:ilvl w:val="0"/>
          <w:numId w:val="1003"/>
        </w:numPr>
        <w:pStyle w:val="Compact"/>
      </w:pPr>
      <w:r>
        <w:t xml:space="preserve">This Quotation Estimate does not constitute a binding contract until both parties have signed and executed the formal Service Agreement.</w:t>
      </w:r>
    </w:p>
    <w:bookmarkEnd w:id="25"/>
    <w:bookmarkStart w:id="26" w:name="client-acknowledgment"/>
    <w:p>
      <w:pPr>
        <w:pStyle w:val="Heading2"/>
      </w:pPr>
      <w:r>
        <w:t xml:space="preserve">6. Client Acknowledgment</w:t>
      </w:r>
    </w:p>
    <w:p>
      <w:pPr>
        <w:pStyle w:val="FirstParagraph"/>
      </w:pPr>
      <w:r>
        <w:t xml:space="preserve">By signing below, the client acknowledges receipt of this Quotation Estimate for Journalist services in Saudi Arabia Riyadh and confirms that the pricing, scope, and terms presented herein have been reviewed and understood. The client agrees that this document represents a good-faith estimate and that final invoicing may be subject to minor adjustments based on actual service delivery.</w:t>
      </w:r>
    </w:p>
    <w:p>
      <w:pPr>
        <w:pStyle w:val="BodyText"/>
      </w:pPr>
      <w:r>
        <w:rPr>
          <w:bCs/>
          <w:b/>
        </w:rPr>
        <w:t xml:space="preserve">Prepared By (Service Provider)</w:t>
      </w:r>
      <w:r>
        <w:br/>
      </w:r>
      <w:r>
        <w:t xml:space="preserve">Name: _________________________</w:t>
      </w:r>
      <w:r>
        <w:br/>
      </w:r>
      <w:r>
        <w:t xml:space="preserve">Title: Lead Journalist / Media Consultant</w:t>
      </w:r>
      <w:r>
        <w:br/>
      </w:r>
      <w:r>
        <w:t xml:space="preserve">Date: _________________________</w:t>
      </w:r>
    </w:p>
    <w:p>
      <w:pPr>
        <w:pStyle w:val="BodyText"/>
      </w:pPr>
      <w:r>
        <w:rPr>
          <w:bCs/>
          <w:b/>
        </w:rPr>
        <w:t xml:space="preserve">Accepted By (Client)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Document Reference:</w:t>
      </w:r>
      <w:r>
        <w:t xml:space="preserve"> </w:t>
      </w:r>
      <w:r>
        <w:t xml:space="preserve">QTE-SAR-2025-04782 |</w:t>
      </w:r>
      <w:r>
        <w:t xml:space="preserve"> </w:t>
      </w:r>
      <w:r>
        <w:rPr>
          <w:bCs/>
          <w:b/>
        </w:rPr>
        <w:t xml:space="preserve">Classification:</w:t>
      </w:r>
      <w:r>
        <w:t xml:space="preserve"> </w:t>
      </w:r>
      <w:r>
        <w:t xml:space="preserve">Commercial — Confidential |</w:t>
      </w:r>
      <w:r>
        <w:t xml:space="preserve"> </w:t>
      </w:r>
      <w:r>
        <w:rPr>
          <w:bCs/>
          <w:b/>
        </w:rPr>
        <w:t xml:space="preserve">Issued in:</w:t>
      </w:r>
      <w:r>
        <w:t xml:space="preserve"> </w:t>
      </w:r>
      <w:r>
        <w:t xml:space="preserve">Riyadh, Saudi Arabia</w:t>
      </w:r>
    </w:p>
    <w:p>
      <w:pPr>
        <w:pStyle w:val="BodyText"/>
      </w:pPr>
      <w:r>
        <w:t xml:space="preserve">This Quotation Estimate is the property of the issuing entity and is intended solely for the named client. Unauthorized reproduction or distribution of this document is prohibited. All disputes arising from this Quotation Estimate shall be governed by the laws of the Kingdom of Saudi Arabia and adjudicated in the competent courts of Riyadh.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Saudi Arabia Riyadh</dc:title>
  <dc:creator/>
  <dc:language>en</dc:language>
  <cp:keywords/>
  <dcterms:created xsi:type="dcterms:W3CDTF">2026-10-10T03:38:43Z</dcterms:created>
  <dcterms:modified xsi:type="dcterms:W3CDTF">2026-10-10T03:38:43Z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