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mediabridge-communications-llc"/>
    <w:p>
      <w:pPr>
        <w:pStyle w:val="Heading1"/>
      </w:pPr>
      <w:r>
        <w:t xml:space="preserve">MediaBridge Communications LLC</w:t>
      </w:r>
    </w:p>
    <w:p>
      <w:pPr>
        <w:pStyle w:val="FirstParagraph"/>
      </w:pPr>
      <w:r>
        <w:t xml:space="preserve">Office 1204, Al Reem Island Tower, Corniche Road</w:t>
      </w:r>
    </w:p>
    <w:p>
      <w:pPr>
        <w:pStyle w:val="BodyText"/>
      </w:pPr>
      <w:r>
        <w:t xml:space="preserve">Abu Dhabi, United Arab Emirates</w:t>
      </w:r>
    </w:p>
    <w:p>
      <w:pPr>
        <w:pStyle w:val="BodyText"/>
      </w:pPr>
      <w:r>
        <w:t xml:space="preserve">Tel: +971 2 555 0142 | Email: quotations@mediabridge-ae.com</w:t>
      </w:r>
    </w:p>
    <w:p>
      <w:pPr>
        <w:pStyle w:val="BodyText"/>
      </w:pPr>
      <w:r>
        <w:t xml:space="preserve">Trade License No: 1048293 | VAT No: 100482930000003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QTE-AD-2025-0487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Sarah Al Mansoori,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Abu Dhabi, United Arab Emirates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considering MediaBridge Communications LLC for your professional media and communications needs. This</w:t>
      </w:r>
      <w:r>
        <w:t xml:space="preserve"> </w:t>
      </w:r>
      <w:r>
        <w:t xml:space="preserve">Quotation Estimate</w:t>
      </w:r>
      <w:r>
        <w:t xml:space="preserve"> </w:t>
      </w:r>
      <w:r>
        <w:t xml:space="preserve">has been carefully prepared to outline the scope, deliverables, and associated costs for engaging a professional</w:t>
      </w:r>
      <w:r>
        <w:t xml:space="preserve"> </w:t>
      </w:r>
      <w:r>
        <w:t xml:space="preserve">Journalist</w:t>
      </w:r>
      <w:r>
        <w:t xml:space="preserve"> </w:t>
      </w:r>
      <w:r>
        <w:t xml:space="preserve">to support your media, editorial, and public relations objectives within</w:t>
      </w:r>
      <w:r>
        <w:t xml:space="preserve"> </w:t>
      </w:r>
      <w:r>
        <w:t xml:space="preserve">United Arab Emirates Abu Dhabi</w:t>
      </w:r>
      <w:r>
        <w:t xml:space="preserve">. We are committed to delivering exceptional journalistic services that align with the highest standards of accuracy, ethics, and professionalism expected in the region's dynamic media landscape.</w:t>
      </w:r>
    </w:p>
    <w:bookmarkStart w:id="23" w:name="scope-of-services-journalist-engagement"/>
    <w:p>
      <w:pPr>
        <w:pStyle w:val="Heading2"/>
      </w:pPr>
      <w:r>
        <w:t xml:space="preserve">Scope of Services – Journalist Engagement</w:t>
      </w:r>
    </w:p>
    <w:p>
      <w:pPr>
        <w:pStyle w:val="FirstParagraph"/>
      </w:pPr>
      <w:r>
        <w:t xml:space="preserve">The following</w:t>
      </w:r>
      <w:r>
        <w:t xml:space="preserve"> </w:t>
      </w:r>
      <w:r>
        <w:t xml:space="preserve">Quotation Estimate</w:t>
      </w:r>
      <w:r>
        <w:t xml:space="preserve"> </w:t>
      </w:r>
      <w:r>
        <w:t xml:space="preserve">covers the engagement of a senior</w:t>
      </w:r>
      <w:r>
        <w:t xml:space="preserve"> </w:t>
      </w:r>
      <w:r>
        <w:t xml:space="preserve">Journalist</w:t>
      </w:r>
      <w:r>
        <w:t xml:space="preserve"> </w:t>
      </w:r>
      <w:r>
        <w:t xml:space="preserve">based in</w:t>
      </w:r>
      <w:r>
        <w:t xml:space="preserve"> </w:t>
      </w:r>
      <w:r>
        <w:t xml:space="preserve">United Arab Emirates Abu Dhabi</w:t>
      </w:r>
      <w:r>
        <w:t xml:space="preserve"> </w:t>
      </w:r>
      <w:r>
        <w:t xml:space="preserve">to provide comprehensive editorial, reporting, and content development services. The</w:t>
      </w:r>
      <w:r>
        <w:t xml:space="preserve"> </w:t>
      </w:r>
      <w:r>
        <w:t xml:space="preserve">Journalist</w:t>
      </w:r>
      <w:r>
        <w:t xml:space="preserve"> </w:t>
      </w:r>
      <w:r>
        <w:t xml:space="preserve">will operate under the direct supervision of your communications team and will adhere to all applicable media regulations set forth by the National Media Council of the United Arab Emirates.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Total (AED)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On-site news reporting and event coverage at client-designated locations in Abu Dhabi, including press conferences, corporate events, and government announcements</w:t>
            </w:r>
          </w:p>
        </w:tc>
        <w:tc>
          <w:tcPr/>
          <w:p>
            <w:pPr>
              <w:pStyle w:val="Compact"/>
              <w:jc w:val="left"/>
            </w:pPr>
            <w:r>
              <w:t xml:space="preserve">20 days</w:t>
            </w:r>
          </w:p>
        </w:tc>
        <w:tc>
          <w:tcPr/>
          <w:p>
            <w:pPr>
              <w:pStyle w:val="Compact"/>
              <w:jc w:val="left"/>
            </w:pPr>
            <w:r>
              <w:t xml:space="preserve">2,500</w:t>
            </w:r>
          </w:p>
        </w:tc>
        <w:tc>
          <w:tcPr/>
          <w:p>
            <w:pPr>
              <w:pStyle w:val="Compact"/>
              <w:jc w:val="left"/>
            </w:pPr>
            <w:r>
              <w:t xml:space="preserve">50,000</w:t>
            </w:r>
          </w:p>
        </w:tc>
        <w:tc>
          <w:tcPr/>
          <w:p>
            <w:pPr>
              <w:pStyle w:val="Compact"/>
              <w:jc w:val="left"/>
            </w:pPr>
            <w:r>
              <w:t xml:space="preserve">Includes travel within Abu Dhabi emirate</w:t>
            </w:r>
          </w:p>
        </w:tc>
      </w:tr>
      <w:tr>
        <w:tc>
          <w:tcPr/>
          <w:p>
            <w:pPr>
              <w:pStyle w:val="Compact"/>
              <w:jc w:val="left"/>
            </w:pPr>
            <w:r>
              <w:t xml:space="preserve">2</w:t>
            </w:r>
          </w:p>
        </w:tc>
        <w:tc>
          <w:tcPr/>
          <w:p>
            <w:pPr>
              <w:pStyle w:val="Compact"/>
              <w:jc w:val="left"/>
            </w:pPr>
            <w:r>
              <w:t xml:space="preserve">Feature article writing and long-form editorial content (minimum 1,500 words per piece) for client publications and digital platforms</w:t>
            </w:r>
          </w:p>
        </w:tc>
        <w:tc>
          <w:tcPr/>
          <w:p>
            <w:pPr>
              <w:pStyle w:val="Compact"/>
              <w:jc w:val="left"/>
            </w:pPr>
            <w:r>
              <w:t xml:space="preserve">12 articles</w:t>
            </w:r>
          </w:p>
        </w:tc>
        <w:tc>
          <w:tcPr/>
          <w:p>
            <w:pPr>
              <w:pStyle w:val="Compact"/>
              <w:jc w:val="left"/>
            </w:pPr>
            <w:r>
              <w:t xml:space="preserve">1,800</w:t>
            </w:r>
          </w:p>
        </w:tc>
        <w:tc>
          <w:tcPr/>
          <w:p>
            <w:pPr>
              <w:pStyle w:val="Compact"/>
              <w:jc w:val="left"/>
            </w:pPr>
            <w:r>
              <w:t xml:space="preserve">21,600</w:t>
            </w:r>
          </w:p>
        </w:tc>
        <w:tc>
          <w:tcPr/>
          <w:p>
            <w:pPr>
              <w:pStyle w:val="Compact"/>
              <w:jc w:val="left"/>
            </w:pPr>
            <w:r>
              <w:t xml:space="preserve">Two revision rounds included</w:t>
            </w:r>
          </w:p>
        </w:tc>
      </w:tr>
      <w:tr>
        <w:tc>
          <w:tcPr/>
          <w:p>
            <w:pPr>
              <w:pStyle w:val="Compact"/>
              <w:jc w:val="left"/>
            </w:pPr>
            <w:r>
              <w:t xml:space="preserve">3</w:t>
            </w:r>
          </w:p>
        </w:tc>
        <w:tc>
          <w:tcPr/>
          <w:p>
            <w:pPr>
              <w:pStyle w:val="Compact"/>
              <w:jc w:val="left"/>
            </w:pPr>
            <w:r>
              <w:t xml:space="preserve">Interview coordination and execution with key stakeholders, government officials, and industry leaders in the Abu Dhabi region</w:t>
            </w:r>
          </w:p>
        </w:tc>
        <w:tc>
          <w:tcPr/>
          <w:p>
            <w:pPr>
              <w:pStyle w:val="Compact"/>
              <w:jc w:val="left"/>
            </w:pPr>
            <w:r>
              <w:t xml:space="preserve">8 interviews</w:t>
            </w:r>
          </w:p>
        </w:tc>
        <w:tc>
          <w:tcPr/>
          <w:p>
            <w:pPr>
              <w:pStyle w:val="Compact"/>
              <w:jc w:val="left"/>
            </w:pPr>
            <w:r>
              <w:t xml:space="preserve">1,200</w:t>
            </w:r>
          </w:p>
        </w:tc>
        <w:tc>
          <w:tcPr/>
          <w:p>
            <w:pPr>
              <w:pStyle w:val="Compact"/>
              <w:jc w:val="left"/>
            </w:pPr>
            <w:r>
              <w:t xml:space="preserve">9,600</w:t>
            </w:r>
          </w:p>
        </w:tc>
        <w:tc>
          <w:tcPr/>
          <w:p>
            <w:pPr>
              <w:pStyle w:val="Compact"/>
              <w:jc w:val="left"/>
            </w:pPr>
            <w:r>
              <w:t xml:space="preserve">Transcription provided</w:t>
            </w:r>
          </w:p>
        </w:tc>
      </w:tr>
      <w:tr>
        <w:tc>
          <w:tcPr/>
          <w:p>
            <w:pPr>
              <w:pStyle w:val="Compact"/>
              <w:jc w:val="left"/>
            </w:pPr>
            <w:r>
              <w:t xml:space="preserve">4</w:t>
            </w:r>
          </w:p>
        </w:tc>
        <w:tc>
          <w:tcPr/>
          <w:p>
            <w:pPr>
              <w:pStyle w:val="Compact"/>
              <w:jc w:val="left"/>
            </w:pPr>
            <w:r>
              <w:t xml:space="preserve">Press release drafting, media advisory preparation, and distribution coordination with UAE-based and international news outlets</w:t>
            </w:r>
          </w:p>
        </w:tc>
        <w:tc>
          <w:tcPr/>
          <w:p>
            <w:pPr>
              <w:pStyle w:val="Compact"/>
              <w:jc w:val="left"/>
            </w:pPr>
            <w:r>
              <w:t xml:space="preserve">10 releases</w:t>
            </w:r>
          </w:p>
        </w:tc>
        <w:tc>
          <w:tcPr/>
          <w:p>
            <w:pPr>
              <w:pStyle w:val="Compact"/>
              <w:jc w:val="left"/>
            </w:pPr>
            <w:r>
              <w:t xml:space="preserve">950</w:t>
            </w:r>
          </w:p>
        </w:tc>
        <w:tc>
          <w:tcPr/>
          <w:p>
            <w:pPr>
              <w:pStyle w:val="Compact"/>
              <w:jc w:val="left"/>
            </w:pPr>
            <w:r>
              <w:t xml:space="preserve">9,500</w:t>
            </w:r>
          </w:p>
        </w:tc>
        <w:tc>
          <w:tcPr/>
          <w:p>
            <w:pPr>
              <w:pStyle w:val="Compact"/>
              <w:jc w:val="left"/>
            </w:pPr>
            <w:r>
              <w:t xml:space="preserve">Arabic and English versions</w:t>
            </w:r>
          </w:p>
        </w:tc>
      </w:tr>
      <w:tr>
        <w:tc>
          <w:tcPr/>
          <w:p>
            <w:pPr>
              <w:pStyle w:val="Compact"/>
              <w:jc w:val="left"/>
            </w:pPr>
            <w:r>
              <w:t xml:space="preserve">5</w:t>
            </w:r>
          </w:p>
        </w:tc>
        <w:tc>
          <w:tcPr/>
          <w:p>
            <w:pPr>
              <w:pStyle w:val="Compact"/>
              <w:jc w:val="left"/>
            </w:pPr>
            <w:r>
              <w:t xml:space="preserve">Daily media monitoring and competitive intelligence briefing specific to the Abu Dhabi and wider UAE market</w:t>
            </w:r>
          </w:p>
        </w:tc>
        <w:tc>
          <w:tcPr/>
          <w:p>
            <w:pPr>
              <w:pStyle w:val="Compact"/>
              <w:jc w:val="left"/>
            </w:pPr>
            <w:r>
              <w:t xml:space="preserve">30 days</w:t>
            </w:r>
          </w:p>
        </w:tc>
        <w:tc>
          <w:tcPr/>
          <w:p>
            <w:pPr>
              <w:pStyle w:val="Compact"/>
              <w:jc w:val="left"/>
            </w:pPr>
            <w:r>
              <w:t xml:space="preserve">600</w:t>
            </w:r>
          </w:p>
        </w:tc>
        <w:tc>
          <w:tcPr/>
          <w:p>
            <w:pPr>
              <w:pStyle w:val="Compact"/>
              <w:jc w:val="left"/>
            </w:pPr>
            <w:r>
              <w:t xml:space="preserve">18,000</w:t>
            </w:r>
          </w:p>
        </w:tc>
        <w:tc>
          <w:tcPr/>
          <w:p>
            <w:pPr>
              <w:pStyle w:val="Compact"/>
              <w:jc w:val="left"/>
            </w:pPr>
            <w:r>
              <w:t xml:space="preserve">Delivered by 9:00 AM GST</w:t>
            </w:r>
          </w:p>
        </w:tc>
      </w:tr>
      <w:tr>
        <w:tc>
          <w:tcPr/>
          <w:p>
            <w:pPr>
              <w:pStyle w:val="Compact"/>
              <w:jc w:val="left"/>
            </w:pPr>
            <w:r>
              <w:t xml:space="preserve">6</w:t>
            </w:r>
          </w:p>
        </w:tc>
        <w:tc>
          <w:tcPr/>
          <w:p>
            <w:pPr>
              <w:pStyle w:val="Compact"/>
              <w:jc w:val="left"/>
            </w:pPr>
            <w:r>
              <w:t xml:space="preserve">Photographic documentation support (basic) during on-site reporting assignments</w:t>
            </w:r>
          </w:p>
        </w:tc>
        <w:tc>
          <w:tcPr/>
          <w:p>
            <w:pPr>
              <w:pStyle w:val="Compact"/>
              <w:jc w:val="left"/>
            </w:pPr>
            <w:r>
              <w:t xml:space="preserve">20 days</w:t>
            </w:r>
          </w:p>
        </w:tc>
        <w:tc>
          <w:tcPr/>
          <w:p>
            <w:pPr>
              <w:pStyle w:val="Compact"/>
              <w:jc w:val="left"/>
            </w:pPr>
            <w:r>
              <w:t xml:space="preserve">400</w:t>
            </w:r>
          </w:p>
        </w:tc>
        <w:tc>
          <w:tcPr/>
          <w:p>
            <w:pPr>
              <w:pStyle w:val="Compact"/>
              <w:jc w:val="left"/>
            </w:pPr>
            <w:r>
              <w:t xml:space="preserve">8,000</w:t>
            </w:r>
          </w:p>
        </w:tc>
        <w:tc>
          <w:tcPr/>
          <w:p>
            <w:pPr>
              <w:pStyle w:val="Compact"/>
              <w:jc w:val="left"/>
            </w:pPr>
            <w:r>
              <w:t xml:space="preserve">High-resolution digital delivery</w:t>
            </w:r>
          </w:p>
        </w:tc>
      </w:tr>
      <w:tr>
        <w:tc>
          <w:tcPr/>
          <w:p>
            <w:pPr>
              <w:pStyle w:val="Compact"/>
              <w:jc w:val="left"/>
            </w:pPr>
            <w:r>
              <w:t xml:space="preserve">7</w:t>
            </w:r>
          </w:p>
        </w:tc>
        <w:tc>
          <w:tcPr/>
          <w:p>
            <w:pPr>
              <w:pStyle w:val="Compact"/>
              <w:jc w:val="left"/>
            </w:pPr>
            <w:r>
              <w:t xml:space="preserve">Editorial review, fact-checking, and compliance verification against UAE media law and National Media Council guidelines</w:t>
            </w:r>
          </w:p>
        </w:tc>
        <w:tc>
          <w:tcPr/>
          <w:p>
            <w:pPr>
              <w:pStyle w:val="Compact"/>
              <w:jc w:val="left"/>
            </w:pPr>
            <w:r>
              <w:t xml:space="preserve">Flat fee</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One-time charge</w:t>
            </w:r>
          </w:p>
        </w:tc>
      </w:tr>
      <w:tr>
        <w:tc>
          <w:tcPr/>
          <w:p>
            <w:pPr>
              <w:pStyle w:val="Compact"/>
              <w:jc w:val="left"/>
            </w:pPr>
            <w:r>
              <w:t xml:space="preserve">8</w:t>
            </w:r>
          </w:p>
        </w:tc>
        <w:tc>
          <w:tcPr/>
          <w:p>
            <w:pPr>
              <w:pStyle w:val="Compact"/>
              <w:jc w:val="left"/>
            </w:pPr>
            <w:r>
              <w:t xml:space="preserve">Project management, scheduling, and dedicated account liaison for the duration of the engagement</w:t>
            </w:r>
          </w:p>
        </w:tc>
        <w:tc>
          <w:tcPr/>
          <w:p>
            <w:pPr>
              <w:pStyle w:val="Compact"/>
              <w:jc w:val="left"/>
            </w:pPr>
            <w:r>
              <w:t xml:space="preserve">3 months</w:t>
            </w:r>
          </w:p>
        </w:tc>
        <w:tc>
          <w:tcPr/>
          <w:p>
            <w:pPr>
              <w:pStyle w:val="Compact"/>
              <w:jc w:val="left"/>
            </w:pPr>
            <w:r>
              <w:t xml:space="preserve">3,500</w:t>
            </w:r>
          </w:p>
        </w:tc>
        <w:tc>
          <w:tcPr/>
          <w:p>
            <w:pPr>
              <w:pStyle w:val="Compact"/>
              <w:jc w:val="left"/>
            </w:pPr>
            <w:r>
              <w:t xml:space="preserve">10,500</w:t>
            </w:r>
          </w:p>
        </w:tc>
        <w:tc>
          <w:tcPr/>
          <w:p>
            <w:pPr>
              <w:pStyle w:val="Compact"/>
              <w:jc w:val="left"/>
            </w:pPr>
            <w:r>
              <w:t xml:space="preserve">Weekly progress reports</w:t>
            </w:r>
          </w:p>
        </w:tc>
      </w:tr>
      <w:tr>
        <w:tc>
          <w:tcPr>
            <w:gridSpan w:val="4"/>
          </w:tcPr>
          <w:p>
            <w:pPr>
              <w:pStyle w:val="Compact"/>
              <w:jc w:val="left"/>
            </w:pPr>
            <w:r>
              <w:t xml:space="preserve">Subtotal</w:t>
            </w:r>
          </w:p>
        </w:tc>
        <w:tc>
          <w:tcPr/>
          <w:p>
            <w:pPr>
              <w:pStyle w:val="Compact"/>
              <w:jc w:val="left"/>
            </w:pPr>
            <w:r>
              <w:t xml:space="preserve">132,200</w:t>
            </w:r>
          </w:p>
        </w:tc>
        <w:tc>
          <w:tcPr/>
          <w:p>
            <w:pPr>
              <w:pStyle w:val="Compact"/>
            </w:pPr>
          </w:p>
        </w:tc>
      </w:tr>
      <w:tr>
        <w:tc>
          <w:tcPr>
            <w:gridSpan w:val="4"/>
          </w:tcPr>
          <w:p>
            <w:pPr>
              <w:pStyle w:val="Compact"/>
              <w:jc w:val="left"/>
            </w:pPr>
            <w:r>
              <w:t xml:space="preserve">VAT (5%)</w:t>
            </w:r>
          </w:p>
        </w:tc>
        <w:tc>
          <w:tcPr/>
          <w:p>
            <w:pPr>
              <w:pStyle w:val="Compact"/>
              <w:jc w:val="left"/>
            </w:pPr>
            <w:r>
              <w:t xml:space="preserve">6,610</w:t>
            </w:r>
          </w:p>
        </w:tc>
        <w:tc>
          <w:tcPr/>
          <w:p>
            <w:pPr>
              <w:pStyle w:val="Compact"/>
            </w:pPr>
          </w:p>
        </w:tc>
      </w:tr>
      <w:tr>
        <w:tc>
          <w:tcPr>
            <w:gridSpan w:val="4"/>
          </w:tcPr>
          <w:p>
            <w:pPr>
              <w:pStyle w:val="Compact"/>
              <w:jc w:val="left"/>
            </w:pPr>
            <w:r>
              <w:t xml:space="preserve">Grand Total (AED)</w:t>
            </w:r>
          </w:p>
        </w:tc>
        <w:tc>
          <w:tcPr/>
          <w:p>
            <w:pPr>
              <w:pStyle w:val="Compact"/>
              <w:jc w:val="left"/>
            </w:pPr>
            <w:r>
              <w:t xml:space="preserve">138,810</w:t>
            </w:r>
          </w:p>
        </w:tc>
        <w:tc>
          <w:tcPr/>
          <w:p>
            <w:pPr>
              <w:pStyle w:val="Compact"/>
            </w:pP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will require a revised</w:t>
      </w:r>
      <w:r>
        <w:t xml:space="preserve"> </w:t>
      </w:r>
      <w:r>
        <w:t xml:space="preserve">Quotation Estimate</w:t>
      </w:r>
      <w:r>
        <w:t xml:space="preserve"> </w:t>
      </w:r>
      <w:r>
        <w:t xml:space="preserve">reflecting current market rates and availability of the</w:t>
      </w:r>
      <w:r>
        <w:t xml:space="preserve"> </w:t>
      </w:r>
      <w:r>
        <w:t xml:space="preserve">Journalist</w:t>
      </w:r>
      <w:r>
        <w:t xml:space="preserve">.</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the second month of services, and the remaining 20% upon final delivery and client sign-off. All payments shall be made in UAE Dirhams (AED) via bank transfer to the account specified by MediaBridge Communications LLC.</w:t>
      </w:r>
    </w:p>
    <w:p>
      <w:pPr>
        <w:numPr>
          <w:ilvl w:val="0"/>
          <w:numId w:val="1001"/>
        </w:numPr>
        <w:pStyle w:val="Compact"/>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comply with all laws and regulations of the United Arab Emirates, including but not limited to the Federal Media Law, the National Media Council Code of Conduct, and all applicable data protection and privacy statutes in force in Abu Dhabi.</w:t>
      </w:r>
    </w:p>
    <w:p>
      <w:pPr>
        <w:numPr>
          <w:ilvl w:val="0"/>
          <w:numId w:val="1001"/>
        </w:numPr>
        <w:pStyle w:val="Compact"/>
      </w:pPr>
      <w:r>
        <w:t xml:space="preserve">All content produced by the</w:t>
      </w:r>
      <w:r>
        <w:t xml:space="preserve"> </w:t>
      </w:r>
      <w:r>
        <w:t xml:space="preserve">Journalist</w:t>
      </w:r>
      <w:r>
        <w:t xml:space="preserve"> </w:t>
      </w:r>
      <w:r>
        <w:t xml:space="preserve">shall remain the intellectual property of the client upon full payment. MediaBridge Communications LLC retains the right to reference the engagement in its portfolio with prior written consent from the client.</w:t>
      </w:r>
    </w:p>
    <w:p>
      <w:pPr>
        <w:numPr>
          <w:ilvl w:val="0"/>
          <w:numId w:val="1001"/>
        </w:numPr>
        <w:pStyle w:val="Compact"/>
      </w:pPr>
      <w:r>
        <w:t xml:space="preserve">Any additional services, extended reporting days, or scope changes beyond what is detailed in this</w:t>
      </w:r>
      <w:r>
        <w:t xml:space="preserve"> </w:t>
      </w:r>
      <w:r>
        <w:t xml:space="preserve">Quotation Estimate</w:t>
      </w:r>
      <w:r>
        <w:t xml:space="preserve"> </w:t>
      </w:r>
      <w:r>
        <w:t xml:space="preserve">will be subject to a supplementary written agreement and additional charges at the rates specified herein.</w:t>
      </w:r>
    </w:p>
    <w:p>
      <w:pPr>
        <w:numPr>
          <w:ilvl w:val="0"/>
          <w:numId w:val="1001"/>
        </w:numPr>
        <w:pStyle w:val="Compact"/>
      </w:pPr>
      <w:r>
        <w:t xml:space="preserve">The</w:t>
      </w:r>
      <w:r>
        <w:t xml:space="preserve"> </w:t>
      </w:r>
      <w:r>
        <w:t xml:space="preserve">Journalist</w:t>
      </w:r>
      <w:r>
        <w:t xml:space="preserve"> </w:t>
      </w:r>
      <w:r>
        <w:t xml:space="preserve">will be available for on-site assignments within the Abu Dhabi emirate. Travel to other emirates within the United Arab Emirates will be billed at an additional rate of AED 350 per day, inclusive of transportation.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Acceptance of this</w:t>
      </w:r>
      <w:r>
        <w:t xml:space="preserve"> </w:t>
      </w:r>
      <w:r>
        <w:t xml:space="preserve">Quotation Estimate</w:t>
      </w:r>
      <w:r>
        <w:t xml:space="preserve"> </w:t>
      </w:r>
      <w:r>
        <w:t xml:space="preserve">by signature below indicates the client's intent to proceed.</w:t>
      </w:r>
    </w:p>
    <w:p>
      <w:pPr>
        <w:numPr>
          <w:ilvl w:val="0"/>
          <w:numId w:val="1001"/>
        </w:numPr>
        <w:pStyle w:val="Compact"/>
      </w:pPr>
      <w:r>
        <w:t xml:space="preserve">Force majeure events, including but not limited to government-mandated closures, natural disasters, or public health emergencies affecting operations in</w:t>
      </w:r>
      <w:r>
        <w:t xml:space="preserve"> </w:t>
      </w:r>
      <w:r>
        <w:t xml:space="preserve">United Arab Emirates Abu Dhabi</w:t>
      </w:r>
      <w:r>
        <w:t xml:space="preserve">, may result in schedule adjustments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engagement shall be resolved through amicable negotiation. In the event of unresolved disputes, matters shall be referred to the competent courts in Abu Dhabi, United Arab Emirates.</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Journalist</w:t>
      </w:r>
      <w:r>
        <w:t xml:space="preserve"> </w:t>
      </w:r>
      <w:r>
        <w:t xml:space="preserve">services in</w:t>
      </w:r>
      <w:r>
        <w:t xml:space="preserve"> </w:t>
      </w:r>
      <w:r>
        <w:t xml:space="preserve">United Arab Emirates Abu Dhabi</w:t>
      </w:r>
      <w:r>
        <w:t xml:space="preserve"> </w:t>
      </w:r>
      <w:r>
        <w:t xml:space="preserve">and agrees to the terms, conditions, and pricing outlined herein.</w:t>
      </w:r>
    </w:p>
    <w:p>
      <w:pPr>
        <w:pStyle w:val="BodyText"/>
      </w:pPr>
      <w:r>
        <w:rPr>
          <w:bCs/>
          <w:b/>
        </w:rPr>
        <w:t xml:space="preserve">For MediaBridge Communications LLC</w:t>
      </w:r>
      <w:r>
        <w:br/>
      </w:r>
      <w:r>
        <w:t xml:space="preserve">Name: Sarah Al Mansoori</w:t>
      </w:r>
      <w:r>
        <w:br/>
      </w:r>
      <w:r>
        <w:t xml:space="preserve">Title: Senior Account Manager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MediaBridge Communications LLC | Office 1204, Al Reem Island Tower, Corniche Road, Abu Dhabi, United Arab Emirates</w:t>
      </w:r>
    </w:p>
    <w:p>
      <w:pPr>
        <w:pStyle w:val="BodyText"/>
      </w:pPr>
      <w:r>
        <w:t xml:space="preserve">This Quotation Estimate is confidential and intended solely for the named client. Unauthorized distribution is prohibited.</w:t>
      </w:r>
    </w:p>
    <w:p>
      <w:pPr>
        <w:pStyle w:val="BodyText"/>
      </w:pPr>
      <w:r>
        <w:t xml:space="preserve">Document Reference: QTE-AD-2025-0487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United Arab Emirates Abu Dhabi</dc:title>
  <dc:creator/>
  <dc:language>en</dc:language>
  <cp:keywords/>
  <dcterms:created xsi:type="dcterms:W3CDTF">2026-10-10T08:41:24Z</dcterms:created>
  <dcterms:modified xsi:type="dcterms:W3CDTF">2026-10-10T08:41:24Z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