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Journalist Services</w:t>
      </w:r>
    </w:p>
    <w:p>
      <w:pPr>
        <w:pStyle w:val="BodyText"/>
      </w:pPr>
      <w:r>
        <w:t xml:space="preserve">United Arab Emirates Dubai</w:t>
      </w:r>
    </w:p>
    <w:p>
      <w:pPr>
        <w:pStyle w:val="BodyText"/>
      </w:pPr>
      <w:r>
        <w:t xml:space="preserve">Media &amp; Communications Division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QTE-DXB-2025-04871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UAE Dirham (AED)</w:t>
            </w:r>
          </w:p>
        </w:tc>
      </w:tr>
      <w:tr>
        <w:tc>
          <w:tcPr/>
          <w:p>
            <w:pPr>
              <w:pStyle w:val="Compact"/>
              <w:jc w:val="left"/>
            </w:pPr>
            <w:r>
              <w:t xml:space="preserve">Prepared By:</w:t>
            </w:r>
          </w:p>
        </w:tc>
        <w:tc>
          <w:tcPr/>
          <w:p>
            <w:pPr>
              <w:pStyle w:val="Compact"/>
              <w:jc w:val="left"/>
            </w:pPr>
            <w:r>
              <w:t xml:space="preserve">Media Services Department, Dubai</w:t>
            </w:r>
          </w:p>
        </w:tc>
        <w:tc>
          <w:tcPr/>
          <w:p>
            <w:pPr>
              <w:pStyle w:val="Compact"/>
              <w:jc w:val="left"/>
            </w:pPr>
            <w:r>
              <w:t xml:space="preserve">Location:</w:t>
            </w:r>
          </w:p>
        </w:tc>
        <w:tc>
          <w:tcPr/>
          <w:p>
            <w:pPr>
              <w:pStyle w:val="Compact"/>
              <w:jc w:val="left"/>
            </w:pPr>
            <w:r>
              <w:t xml:space="preserve">United Arab Emirates Dubai</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Client Name:</w:t>
            </w:r>
          </w:p>
        </w:tc>
        <w:tc>
          <w:tcPr/>
          <w:p>
            <w:pPr>
              <w:pStyle w:val="Compact"/>
              <w:jc w:val="left"/>
            </w:pPr>
            <w:r>
              <w:t xml:space="preserve">[Client Organization Name]</w:t>
            </w:r>
          </w:p>
        </w:tc>
        <w:tc>
          <w:tcPr/>
          <w:p>
            <w:pPr>
              <w:pStyle w:val="Compact"/>
              <w:jc w:val="left"/>
            </w:pPr>
            <w:r>
              <w:t xml:space="preserve">Contact Person:</w:t>
            </w:r>
          </w:p>
        </w:tc>
        <w:tc>
          <w:tcPr/>
          <w:p>
            <w:pPr>
              <w:pStyle w:val="Compact"/>
              <w:jc w:val="left"/>
            </w:pPr>
            <w:r>
              <w:t xml:space="preserve">[Full Name]</w:t>
            </w:r>
          </w:p>
        </w:tc>
      </w:tr>
      <w:tr>
        <w:tc>
          <w:tcPr/>
          <w:p>
            <w:pPr>
              <w:pStyle w:val="Compact"/>
              <w:jc w:val="left"/>
            </w:pPr>
            <w:r>
              <w:t xml:space="preserve">Address:</w:t>
            </w:r>
          </w:p>
        </w:tc>
        <w:tc>
          <w:tcPr/>
          <w:p>
            <w:pPr>
              <w:pStyle w:val="Compact"/>
              <w:jc w:val="left"/>
            </w:pPr>
            <w:r>
              <w:t xml:space="preserve">[Street, Building, District], United Arab Emirates Dubai</w:t>
            </w:r>
          </w:p>
        </w:tc>
        <w:tc>
          <w:tcPr/>
          <w:p>
            <w:pPr>
              <w:pStyle w:val="Compact"/>
              <w:jc w:val="left"/>
            </w:pPr>
            <w:r>
              <w:t xml:space="preserve">Phone / Email:</w:t>
            </w:r>
          </w:p>
        </w:tc>
        <w:tc>
          <w:tcPr/>
          <w:p>
            <w:pPr>
              <w:pStyle w:val="Compact"/>
              <w:jc w:val="left"/>
            </w:pPr>
            <w:r>
              <w:t xml:space="preserve">[+971 XX XXX XXXX / email@domain.ae]</w:t>
            </w:r>
          </w:p>
        </w:tc>
      </w:tr>
    </w:tbl>
    <w:bookmarkEnd w:id="21"/>
    <w:bookmarkStart w:id="22" w:name="scope-of-services-journalist-engagement"/>
    <w:p>
      <w:pPr>
        <w:pStyle w:val="Heading2"/>
      </w:pPr>
      <w:r>
        <w:t xml:space="preserve">2. Scope of Services – Journalist Engagement</w:t>
      </w:r>
    </w:p>
    <w:p>
      <w:pPr>
        <w:pStyle w:val="FirstParagraph"/>
      </w:pPr>
      <w:r>
        <w:t xml:space="preserve">This</w:t>
      </w:r>
      <w:r>
        <w:t xml:space="preserve"> </w:t>
      </w:r>
      <w:r>
        <w:t xml:space="preserve">Quotation Estimate</w:t>
      </w:r>
      <w:r>
        <w:t xml:space="preserve"> </w:t>
      </w:r>
      <w:r>
        <w:t xml:space="preserve">is issued to provide a comprehensive and transparent breakdown of costs associated with the engagement of a professional</w:t>
      </w:r>
      <w:r>
        <w:t xml:space="preserve"> </w:t>
      </w:r>
      <w:r>
        <w:t xml:space="preserve">Journalist</w:t>
      </w:r>
      <w:r>
        <w:t xml:space="preserve"> </w:t>
      </w:r>
      <w:r>
        <w:t xml:space="preserve">for media coverage, editorial content production, and press-related activities within the</w:t>
      </w:r>
      <w:r>
        <w:t xml:space="preserve"> </w:t>
      </w:r>
      <w:r>
        <w:t xml:space="preserve">United Arab Emirates Dubai</w:t>
      </w:r>
      <w:r>
        <w:t xml:space="preserve"> </w:t>
      </w:r>
      <w:r>
        <w:t xml:space="preserve">metropolitan area. The services outlined below are designed to meet the specific communication and reporting needs of the client while adhering to the regulatory standards set by the UAE Media Regulatory Authority and the Dubai Media Office.</w:t>
      </w:r>
    </w:p>
    <w:p>
      <w:pPr>
        <w:pStyle w:val="BodyText"/>
      </w:pPr>
      <w:r>
        <w:t xml:space="preserve">The</w:t>
      </w:r>
      <w:r>
        <w:t xml:space="preserve"> </w:t>
      </w:r>
      <w:r>
        <w:t xml:space="preserve">Journalist</w:t>
      </w:r>
      <w:r>
        <w:t xml:space="preserve"> </w:t>
      </w:r>
      <w:r>
        <w:t xml:space="preserve">engaged under this</w:t>
      </w:r>
      <w:r>
        <w:t xml:space="preserve"> </w:t>
      </w:r>
      <w:r>
        <w:t xml:space="preserve">Quotation Estimate</w:t>
      </w:r>
      <w:r>
        <w:t xml:space="preserve"> </w:t>
      </w:r>
      <w:r>
        <w:t xml:space="preserve">shall possess a minimum of eight (8) years of professional experience in news reporting, feature writing, and multimedia content creation. The</w:t>
      </w:r>
      <w:r>
        <w:t xml:space="preserve"> </w:t>
      </w:r>
      <w:r>
        <w:t xml:space="preserve">Journalist</w:t>
      </w:r>
      <w:r>
        <w:t xml:space="preserve"> </w:t>
      </w:r>
      <w:r>
        <w:t xml:space="preserve">must hold a valid UAE press card issued by the relevant authority in the</w:t>
      </w:r>
      <w:r>
        <w:t xml:space="preserve"> </w:t>
      </w:r>
      <w:r>
        <w:t xml:space="preserve">United Arab Emirates Dubai</w:t>
      </w:r>
      <w:r>
        <w:t xml:space="preserve"> </w:t>
      </w:r>
      <w:r>
        <w:t xml:space="preserve">and shall comply with all local media laws, including the Federal Media Law and Dubai-specific broadcasting and publication regulations.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(AED)</w:t>
            </w:r>
          </w:p>
        </w:tc>
        <w:tc>
          <w:tcPr/>
          <w:p>
            <w:pPr>
              <w:pStyle w:val="Compact"/>
              <w:jc w:val="left"/>
            </w:pPr>
            <w:r>
              <w:t xml:space="preserve">Total (AED)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On-site news reporting and live event coverage by a senior</w:t>
            </w:r>
            <w:r>
              <w:t xml:space="preserve"> </w:t>
            </w:r>
            <w:r>
              <w:t xml:space="preserve">Journalist</w:t>
            </w:r>
            <w:r>
              <w:t xml:space="preserve"> </w:t>
            </w:r>
            <w:r>
              <w:t xml:space="preserve">in United Arab Emirates Dubai</w:t>
            </w:r>
          </w:p>
        </w:tc>
        <w:tc>
          <w:tcPr/>
          <w:p>
            <w:pPr>
              <w:pStyle w:val="Compact"/>
              <w:jc w:val="left"/>
            </w:pPr>
            <w:r>
              <w:t xml:space="preserve">5 days</w:t>
            </w:r>
          </w:p>
        </w:tc>
        <w:tc>
          <w:tcPr/>
          <w:p>
            <w:pPr>
              <w:pStyle w:val="Compact"/>
              <w:jc w:val="left"/>
            </w:pPr>
            <w:r>
              <w:t xml:space="preserve">3,500.00</w:t>
            </w:r>
          </w:p>
        </w:tc>
        <w:tc>
          <w:tcPr/>
          <w:p>
            <w:pPr>
              <w:pStyle w:val="Compact"/>
              <w:jc w:val="left"/>
            </w:pPr>
            <w:r>
              <w:t xml:space="preserve">17,500.00</w:t>
            </w:r>
          </w:p>
        </w:tc>
        <w:tc>
          <w:tcPr/>
          <w:p>
            <w:pPr>
              <w:pStyle w:val="Compact"/>
              <w:jc w:val="left"/>
            </w:pPr>
            <w:r>
              <w:t xml:space="preserve">Incl. travel within Dubai</w:t>
            </w:r>
          </w:p>
        </w:tc>
      </w:tr>
      <w:tr>
        <w:tc>
          <w:tcPr/>
          <w:p>
            <w:pPr>
              <w:pStyle w:val="Compact"/>
              <w:jc w:val="left"/>
            </w:pPr>
            <w:r>
              <w:t xml:space="preserve">2</w:t>
            </w:r>
          </w:p>
        </w:tc>
        <w:tc>
          <w:tcPr/>
          <w:p>
            <w:pPr>
              <w:pStyle w:val="Compact"/>
              <w:jc w:val="left"/>
            </w:pPr>
            <w:r>
              <w:t xml:space="preserve">Editorial content writing – long-form articles, press releases, and feature stories (up to 5,000 words per day)</w:t>
            </w:r>
          </w:p>
        </w:tc>
        <w:tc>
          <w:tcPr/>
          <w:p>
            <w:pPr>
              <w:pStyle w:val="Compact"/>
              <w:jc w:val="left"/>
            </w:pPr>
            <w:r>
              <w:t xml:space="preserve">10 days</w:t>
            </w:r>
          </w:p>
        </w:tc>
        <w:tc>
          <w:tcPr/>
          <w:p>
            <w:pPr>
              <w:pStyle w:val="Compact"/>
              <w:jc w:val="left"/>
            </w:pPr>
            <w:r>
              <w:t xml:space="preserve">2,800.00</w:t>
            </w:r>
          </w:p>
        </w:tc>
        <w:tc>
          <w:tcPr/>
          <w:p>
            <w:pPr>
              <w:pStyle w:val="Compact"/>
              <w:jc w:val="left"/>
            </w:pPr>
            <w:r>
              <w:t xml:space="preserve">28,000.00</w:t>
            </w:r>
          </w:p>
        </w:tc>
        <w:tc>
          <w:tcPr/>
          <w:p>
            <w:pPr>
              <w:pStyle w:val="Compact"/>
              <w:jc w:val="left"/>
            </w:pPr>
            <w:r>
              <w:t xml:space="preserve">Two revision rounds included</w:t>
            </w:r>
          </w:p>
        </w:tc>
      </w:tr>
      <w:tr>
        <w:tc>
          <w:tcPr/>
          <w:p>
            <w:pPr>
              <w:pStyle w:val="Compact"/>
              <w:jc w:val="left"/>
            </w:pPr>
            <w:r>
              <w:t xml:space="preserve">3</w:t>
            </w:r>
          </w:p>
        </w:tc>
        <w:tc>
          <w:tcPr/>
          <w:p>
            <w:pPr>
              <w:pStyle w:val="Compact"/>
              <w:jc w:val="left"/>
            </w:pPr>
            <w:r>
              <w:t xml:space="preserve">Interview coordination and transcription services for executive and public figure interviews</w:t>
            </w:r>
          </w:p>
        </w:tc>
        <w:tc>
          <w:tcPr/>
          <w:p>
            <w:pPr>
              <w:pStyle w:val="Compact"/>
              <w:jc w:val="left"/>
            </w:pPr>
            <w:r>
              <w:t xml:space="preserve">8 interviews</w:t>
            </w:r>
          </w:p>
        </w:tc>
        <w:tc>
          <w:tcPr/>
          <w:p>
            <w:pPr>
              <w:pStyle w:val="Compact"/>
              <w:jc w:val="left"/>
            </w:pPr>
            <w:r>
              <w:t xml:space="preserve">1,200.00</w:t>
            </w:r>
          </w:p>
        </w:tc>
        <w:tc>
          <w:tcPr/>
          <w:p>
            <w:pPr>
              <w:pStyle w:val="Compact"/>
              <w:jc w:val="left"/>
            </w:pPr>
            <w:r>
              <w:t xml:space="preserve">9,600.00</w:t>
            </w:r>
          </w:p>
        </w:tc>
        <w:tc>
          <w:tcPr/>
          <w:p>
            <w:pPr>
              <w:pStyle w:val="Compact"/>
              <w:jc w:val="left"/>
            </w:pPr>
            <w:r>
              <w:t xml:space="preserve">Per interview session</w:t>
            </w:r>
          </w:p>
        </w:tc>
      </w:tr>
      <w:tr>
        <w:tc>
          <w:tcPr/>
          <w:p>
            <w:pPr>
              <w:pStyle w:val="Compact"/>
              <w:jc w:val="left"/>
            </w:pPr>
            <w:r>
              <w:t xml:space="preserve">4</w:t>
            </w:r>
          </w:p>
        </w:tc>
        <w:tc>
          <w:tcPr/>
          <w:p>
            <w:pPr>
              <w:pStyle w:val="Compact"/>
              <w:jc w:val="left"/>
            </w:pPr>
            <w:r>
              <w:t xml:space="preserve">Multimedia content production – photojournalism and short video documentation (up to 5 minutes per piece)</w:t>
            </w:r>
          </w:p>
        </w:tc>
        <w:tc>
          <w:tcPr/>
          <w:p>
            <w:pPr>
              <w:pStyle w:val="Compact"/>
              <w:jc w:val="left"/>
            </w:pPr>
            <w:r>
              <w:t xml:space="preserve">6 pieces</w:t>
            </w:r>
          </w:p>
        </w:tc>
        <w:tc>
          <w:tcPr/>
          <w:p>
            <w:pPr>
              <w:pStyle w:val="Compact"/>
              <w:jc w:val="left"/>
            </w:pPr>
            <w:r>
              <w:t xml:space="preserve">2,200.00</w:t>
            </w:r>
          </w:p>
        </w:tc>
        <w:tc>
          <w:tcPr/>
          <w:p>
            <w:pPr>
              <w:pStyle w:val="Compact"/>
              <w:jc w:val="left"/>
            </w:pPr>
            <w:r>
              <w:t xml:space="preserve">13,200.00</w:t>
            </w:r>
          </w:p>
        </w:tc>
        <w:tc>
          <w:tcPr/>
          <w:p>
            <w:pPr>
              <w:pStyle w:val="Compact"/>
              <w:jc w:val="left"/>
            </w:pPr>
            <w:r>
              <w:t xml:space="preserve">4K resolution, edited</w:t>
            </w:r>
          </w:p>
        </w:tc>
      </w:tr>
      <w:tr>
        <w:tc>
          <w:tcPr/>
          <w:p>
            <w:pPr>
              <w:pStyle w:val="Compact"/>
              <w:jc w:val="left"/>
            </w:pPr>
            <w:r>
              <w:t xml:space="preserve">5</w:t>
            </w:r>
          </w:p>
        </w:tc>
        <w:tc>
          <w:tcPr/>
          <w:p>
            <w:pPr>
              <w:pStyle w:val="Compact"/>
              <w:jc w:val="left"/>
            </w:pPr>
            <w:r>
              <w:t xml:space="preserve">Press conference coverage and real-time social media updates (Arabic and English)</w:t>
            </w:r>
          </w:p>
        </w:tc>
        <w:tc>
          <w:tcPr/>
          <w:p>
            <w:pPr>
              <w:pStyle w:val="Compact"/>
              <w:jc w:val="left"/>
            </w:pPr>
            <w:r>
              <w:t xml:space="preserve">3 events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Incl. bilingual output</w:t>
            </w:r>
          </w:p>
        </w:tc>
      </w:tr>
      <w:tr>
        <w:tc>
          <w:tcPr/>
          <w:p>
            <w:pPr>
              <w:pStyle w:val="Compact"/>
              <w:jc w:val="left"/>
            </w:pPr>
            <w:r>
              <w:t xml:space="preserve">6</w:t>
            </w:r>
          </w:p>
        </w:tc>
        <w:tc>
          <w:tcPr/>
          <w:p>
            <w:pPr>
              <w:pStyle w:val="Compact"/>
              <w:jc w:val="left"/>
            </w:pPr>
            <w:r>
              <w:t xml:space="preserve">Fact-checking, legal compliance review, and final editorial proofreading in accordance with UAE media standards</w:t>
            </w:r>
          </w:p>
        </w:tc>
        <w:tc>
          <w:tcPr/>
          <w:p>
            <w:pPr>
              <w:pStyle w:val="Compact"/>
              <w:jc w:val="left"/>
            </w:pPr>
            <w:r>
              <w:t xml:space="preserve">1 package</w:t>
            </w:r>
          </w:p>
        </w:tc>
        <w:tc>
          <w:tcPr/>
          <w:p>
            <w:pPr>
              <w:pStyle w:val="Compact"/>
              <w:jc w:val="left"/>
            </w:pPr>
            <w:r>
              <w:t xml:space="preserve">3,000.00</w:t>
            </w:r>
          </w:p>
        </w:tc>
        <w:tc>
          <w:tcPr/>
          <w:p>
            <w:pPr>
              <w:pStyle w:val="Compact"/>
              <w:jc w:val="left"/>
            </w:pPr>
            <w:r>
              <w:t xml:space="preserve">3,000.00</w:t>
            </w:r>
          </w:p>
        </w:tc>
        <w:tc>
          <w:tcPr/>
          <w:p>
            <w:pPr>
              <w:pStyle w:val="Compact"/>
              <w:jc w:val="left"/>
            </w:pPr>
            <w:r>
              <w:t xml:space="preserve">One-time fee</w:t>
            </w:r>
          </w:p>
        </w:tc>
      </w:tr>
      <w:tr>
        <w:tc>
          <w:tcPr/>
          <w:p>
            <w:pPr>
              <w:pStyle w:val="Compact"/>
              <w:jc w:val="left"/>
            </w:pPr>
            <w:r>
              <w:t xml:space="preserve">7</w:t>
            </w:r>
          </w:p>
        </w:tc>
        <w:tc>
          <w:tcPr/>
          <w:p>
            <w:pPr>
              <w:pStyle w:val="Compact"/>
              <w:jc w:val="left"/>
            </w:pPr>
            <w:r>
              <w:t xml:space="preserve">UAE press card renewal and Dubai Media Office registration fees (on behalf of the</w:t>
            </w:r>
            <w:r>
              <w:t xml:space="preserve"> </w:t>
            </w:r>
            <w:r>
              <w:t xml:space="preserve">Journalist</w:t>
            </w:r>
            <w:r>
              <w:t xml:space="preserve">)</w:t>
            </w:r>
          </w:p>
        </w:tc>
        <w:tc>
          <w:tcPr/>
          <w:p>
            <w:pPr>
              <w:pStyle w:val="Compact"/>
              <w:jc w:val="left"/>
            </w:pPr>
            <w:r>
              <w:t xml:space="preserve">1 package</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Government fees</w:t>
            </w:r>
          </w:p>
        </w:tc>
      </w:tr>
      <w:tr>
        <w:tc>
          <w:tcPr/>
          <w:p>
            <w:pPr>
              <w:pStyle w:val="Compact"/>
              <w:jc w:val="left"/>
            </w:pPr>
            <w:r>
              <w:t xml:space="preserve">8</w:t>
            </w:r>
          </w:p>
        </w:tc>
        <w:tc>
          <w:tcPr/>
          <w:p>
            <w:pPr>
              <w:pStyle w:val="Compact"/>
              <w:jc w:val="left"/>
            </w:pPr>
            <w:r>
              <w:t xml:space="preserve">Project management, scheduling, and client liaison coordination throughout the engagement period</w:t>
            </w:r>
          </w:p>
        </w:tc>
        <w:tc>
          <w:tcPr/>
          <w:p>
            <w:pPr>
              <w:pStyle w:val="Compact"/>
              <w:jc w:val="left"/>
            </w:pPr>
            <w:r>
              <w:t xml:space="preserve">30 days</w:t>
            </w:r>
          </w:p>
        </w:tc>
        <w:tc>
          <w:tcPr/>
          <w:p>
            <w:pPr>
              <w:pStyle w:val="Compact"/>
              <w:jc w:val="left"/>
            </w:pPr>
            <w:r>
              <w:t xml:space="preserve">1,500.00</w:t>
            </w:r>
          </w:p>
        </w:tc>
        <w:tc>
          <w:tcPr/>
          <w:p>
            <w:pPr>
              <w:pStyle w:val="Compact"/>
              <w:jc w:val="left"/>
            </w:pPr>
            <w:r>
              <w:t xml:space="preserve">45,000.00</w:t>
            </w:r>
          </w:p>
        </w:tc>
        <w:tc>
          <w:tcPr/>
          <w:p>
            <w:pPr>
              <w:pStyle w:val="Compact"/>
              <w:jc w:val="left"/>
            </w:pPr>
            <w:r>
              <w:t xml:space="preserve">Dedicated account manager</w:t>
            </w:r>
          </w:p>
        </w:tc>
      </w:tr>
      <w:tr>
        <w:tc>
          <w:tcPr>
            <w:gridSpan w:val="4"/>
          </w:tcPr>
          <w:p>
            <w:pPr>
              <w:pStyle w:val="Compact"/>
              <w:jc w:val="right"/>
            </w:pPr>
            <w:r>
              <w:t xml:space="preserve">Subtotal:</w:t>
            </w:r>
          </w:p>
        </w:tc>
        <w:tc>
          <w:tcPr/>
          <w:p>
            <w:pPr>
              <w:pStyle w:val="Compact"/>
              <w:jc w:val="left"/>
            </w:pPr>
            <w:r>
              <w:t xml:space="preserve">131,600.00</w:t>
            </w:r>
          </w:p>
        </w:tc>
        <w:tc>
          <w:tcPr/>
          <w:p>
            <w:pPr>
              <w:pStyle w:val="Compact"/>
            </w:pPr>
          </w:p>
        </w:tc>
      </w:tr>
      <w:tr>
        <w:tc>
          <w:tcPr>
            <w:gridSpan w:val="4"/>
          </w:tcPr>
          <w:p>
            <w:pPr>
              <w:pStyle w:val="Compact"/>
              <w:jc w:val="right"/>
            </w:pPr>
            <w:r>
              <w:t xml:space="preserve">VAT (5% – UAE Standard Rate):</w:t>
            </w:r>
          </w:p>
        </w:tc>
        <w:tc>
          <w:tcPr/>
          <w:p>
            <w:pPr>
              <w:pStyle w:val="Compact"/>
              <w:jc w:val="left"/>
            </w:pPr>
            <w:r>
              <w:t xml:space="preserve">6,580.00</w:t>
            </w:r>
          </w:p>
        </w:tc>
        <w:tc>
          <w:tcPr/>
          <w:p>
            <w:pPr>
              <w:pStyle w:val="Compact"/>
            </w:pPr>
          </w:p>
        </w:tc>
      </w:tr>
      <w:tr>
        <w:tc>
          <w:tcPr>
            <w:gridSpan w:val="4"/>
          </w:tcPr>
          <w:p>
            <w:pPr>
              <w:pStyle w:val="Compact"/>
              <w:jc w:val="right"/>
            </w:pPr>
            <w:r>
              <w:t xml:space="preserve">Grand Total (AED):</w:t>
            </w:r>
          </w:p>
        </w:tc>
        <w:tc>
          <w:tcPr/>
          <w:p>
            <w:pPr>
              <w:pStyle w:val="Compact"/>
              <w:jc w:val="left"/>
            </w:pPr>
            <w:r>
              <w:t xml:space="preserve">138,180.00</w:t>
            </w:r>
          </w:p>
        </w:tc>
        <w:tc>
          <w:tcPr/>
          <w:p>
            <w:pPr>
              <w:pStyle w:val="Compact"/>
            </w:pP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engagement beyond this validity period shall require a revised</w:t>
      </w:r>
      <w:r>
        <w:t xml:space="preserve"> </w:t>
      </w:r>
      <w:r>
        <w:t xml:space="preserve">Quotation Estimate</w:t>
      </w:r>
      <w:r>
        <w:t xml:space="preserve"> </w:t>
      </w:r>
      <w:r>
        <w:t xml:space="preserve">reflecting current market rates in the</w:t>
      </w:r>
      <w:r>
        <w:t xml:space="preserve"> </w:t>
      </w:r>
      <w:r>
        <w:t xml:space="preserve">United Arab Emirates Dubai</w:t>
      </w:r>
      <w:r>
        <w:t xml:space="preserve"> </w:t>
      </w:r>
      <w:r>
        <w:t xml:space="preserve">media sector.</w:t>
      </w:r>
    </w:p>
    <w:p>
      <w:pPr>
        <w:numPr>
          <w:ilvl w:val="0"/>
          <w:numId w:val="1001"/>
        </w:numPr>
        <w:pStyle w:val="Compact"/>
      </w:pPr>
      <w:r>
        <w:t xml:space="preserve">The</w:t>
      </w:r>
      <w:r>
        <w:t xml:space="preserve"> </w:t>
      </w:r>
      <w:r>
        <w:t xml:space="preserve">Journalist</w:t>
      </w:r>
      <w:r>
        <w:t xml:space="preserve"> </w:t>
      </w:r>
      <w:r>
        <w:t xml:space="preserve">assigned to this project shall be a UAE-resident professional holding a valid press credential. In the event of unavailability, a substitute of equivalent seniority and qualification shall be provided with prior written consent from the client.</w:t>
      </w:r>
    </w:p>
    <w:p>
      <w:pPr>
        <w:numPr>
          <w:ilvl w:val="0"/>
          <w:numId w:val="1001"/>
        </w:numPr>
        <w:pStyle w:val="Compact"/>
      </w:pPr>
      <w:r>
        <w:t xml:space="preserve">All content produced under this engagement shall be the exclusive intellectual property of the client upon full payment. The</w:t>
      </w:r>
      <w:r>
        <w:t xml:space="preserve"> </w:t>
      </w:r>
      <w:r>
        <w:t xml:space="preserve">Journalist</w:t>
      </w:r>
      <w:r>
        <w:t xml:space="preserve"> </w:t>
      </w:r>
      <w:r>
        <w:t xml:space="preserve">retains the right to include the work in a professional portfolio, subject to a 90-day embargo period.</w:t>
      </w:r>
    </w:p>
    <w:p>
      <w:pPr>
        <w:numPr>
          <w:ilvl w:val="0"/>
          <w:numId w:val="1001"/>
        </w:numPr>
        <w:pStyle w:val="Compact"/>
      </w:pPr>
      <w:r>
        <w:t xml:space="preserve">Payment terms: 40% advance upon acceptance of this</w:t>
      </w:r>
      <w:r>
        <w:t xml:space="preserve"> </w:t>
      </w:r>
      <w:r>
        <w:t xml:space="preserve">Quotation Estimate</w:t>
      </w:r>
      <w:r>
        <w:t xml:space="preserve">, 40% upon completion of 75% of deliverables, and 20% upon final acceptance. Payments shall be made via bank transfer to the designated account in the</w:t>
      </w:r>
      <w:r>
        <w:t xml:space="preserve"> </w:t>
      </w:r>
      <w:r>
        <w:t xml:space="preserve">United Arab Emirates Dubai</w:t>
      </w:r>
      <w:r>
        <w:t xml:space="preserve">.</w:t>
      </w:r>
    </w:p>
    <w:p>
      <w:pPr>
        <w:numPr>
          <w:ilvl w:val="0"/>
          <w:numId w:val="1001"/>
        </w:numPr>
        <w:pStyle w:val="Compact"/>
      </w:pPr>
      <w:r>
        <w:t xml:space="preserve">Any additional services, extended coverage days, or scope changes beyond the parameters defined in this</w:t>
      </w:r>
      <w:r>
        <w:t xml:space="preserve"> </w:t>
      </w:r>
      <w:r>
        <w:t xml:space="preserve">Quotation Estimate</w:t>
      </w:r>
      <w:r>
        <w:t xml:space="preserve"> </w:t>
      </w:r>
      <w:r>
        <w:t xml:space="preserve">shall be subject to a supplementary agreement and additional charges at the rates specified herein.</w:t>
      </w:r>
    </w:p>
    <w:p>
      <w:pPr>
        <w:numPr>
          <w:ilvl w:val="0"/>
          <w:numId w:val="1001"/>
        </w:numPr>
        <w:pStyle w:val="Compact"/>
      </w:pPr>
      <w:r>
        <w:t xml:space="preserve">All reporting activities shall comply with the UAE Federal Media Law, the Dubai Media Regulatory framework, and applicable data protection regulations. The</w:t>
      </w:r>
      <w:r>
        <w:t xml:space="preserve"> </w:t>
      </w:r>
      <w:r>
        <w:t xml:space="preserve">Journalist</w:t>
      </w:r>
      <w:r>
        <w:t xml:space="preserve"> </w:t>
      </w:r>
      <w:r>
        <w:t xml:space="preserve">shall not publish or distribute any material without the client's prior written approval.</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The governing law for this document shall be the laws of the United Arab Emirates, with jurisdiction vested in the courts of Dubai.</w:t>
      </w:r>
    </w:p>
    <w:p>
      <w:pPr>
        <w:numPr>
          <w:ilvl w:val="0"/>
          <w:numId w:val="1001"/>
        </w:numPr>
        <w:pStyle w:val="Compact"/>
      </w:pPr>
      <w:r>
        <w:t xml:space="preserve">Force majeure events, including but not limited to government-mandated closures, natural disasters, or public health emergencies affecting the</w:t>
      </w:r>
      <w:r>
        <w:t xml:space="preserve"> </w:t>
      </w:r>
      <w:r>
        <w:t xml:space="preserve">United Arab Emirates Dubai</w:t>
      </w:r>
      <w:r>
        <w:t xml:space="preserve">, shall exempt both parties from performance obligations during the affected period.</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Journalist</w:t>
      </w:r>
      <w:r>
        <w:t xml:space="preserve"> </w:t>
      </w:r>
      <w:r>
        <w:t xml:space="preserve">services in the</w:t>
      </w:r>
      <w:r>
        <w:t xml:space="preserve"> </w:t>
      </w:r>
      <w:r>
        <w:t xml:space="preserve">United Arab Emirates Dubai</w:t>
      </w:r>
      <w:r>
        <w:t xml:space="preserve"> </w:t>
      </w:r>
      <w:r>
        <w:t xml:space="preserve">and agrees to the terms, conditions, and pricing outlined herein. This acceptance authorizes the service provider to commence the engagement as described.</w:t>
      </w:r>
    </w:p>
    <w:p>
      <w:pPr>
        <w:pStyle w:val="BodyText"/>
      </w:pPr>
      <w:r>
        <w:rPr>
          <w:bCs/>
          <w:b/>
        </w:rPr>
        <w:t xml:space="preserve">For the Service Provider:</w:t>
      </w:r>
    </w:p>
    <w:p>
      <w:pPr>
        <w:pStyle w:val="BodyText"/>
      </w:pPr>
      <w:r>
        <w:t xml:space="preserve">Name: ______________________________</w:t>
      </w:r>
      <w:r>
        <w:br/>
      </w:r>
      <w:r>
        <w:t xml:space="preserve">Title: Head of Media Services</w:t>
      </w:r>
      <w:r>
        <w:br/>
      </w:r>
      <w:r>
        <w:t xml:space="preserve">Company: [Provider Name], Dubai, UAE</w:t>
      </w:r>
      <w:r>
        <w:br/>
      </w:r>
      <w:r>
        <w:t xml:space="preserve">Date: ______________________________</w:t>
      </w:r>
    </w:p>
    <w:p>
      <w:pPr>
        <w:pStyle w:val="BodyText"/>
      </w:pPr>
      <w:r>
        <w:rPr>
          <w:bCs/>
          <w:b/>
        </w:rPr>
        <w:t xml:space="preserve">For the Client:</w:t>
      </w:r>
    </w:p>
    <w:p>
      <w:pPr>
        <w:pStyle w:val="BodyText"/>
      </w:pPr>
      <w:r>
        <w:t xml:space="preserve">Name: ______________________________</w:t>
      </w:r>
      <w:r>
        <w:br/>
      </w:r>
      <w:r>
        <w:t xml:space="preserve">Title: ______________________________</w:t>
      </w:r>
      <w:r>
        <w:br/>
      </w:r>
      <w:r>
        <w:t xml:space="preserve">Organization: ______________________________</w:t>
      </w:r>
      <w:r>
        <w:br/>
      </w:r>
      <w:r>
        <w:t xml:space="preserve">Date: ______________________________</w:t>
      </w:r>
    </w:p>
    <w:p>
      <w:pPr>
        <w:pStyle w:val="BodyText"/>
      </w:pPr>
      <w:r>
        <w:rPr>
          <w:bCs/>
          <w:b/>
        </w:rPr>
        <w:t xml:space="preserve">Quotation Estimate No. QTE-DXB-2025-04871</w:t>
      </w:r>
      <w:r>
        <w:t xml:space="preserve"> </w:t>
      </w:r>
      <w:r>
        <w:t xml:space="preserve">| Journalist Services | United Arab Emirates Dubai</w:t>
      </w:r>
    </w:p>
    <w:p>
      <w:pPr>
        <w:pStyle w:val="BodyText"/>
      </w:pPr>
      <w:r>
        <w:t xml:space="preserve">This document is generated electronically and is valid without a physical stamp. For inquiries, contact the Media Services Department at +971 4 XXX XXXX or media@provider-dubai.ae</w:t>
      </w:r>
    </w:p>
    <w:p>
      <w:pPr>
        <w:pStyle w:val="BodyText"/>
      </w:pPr>
      <w:r>
        <w:t xml:space="preserve">© 2025 [Provider Name]. All rights reserved. Registered in Dubai, United Arab Emirates.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United Arab Emirates Dubai</dc:title>
  <dc:creator/>
  <dc:language>en</dc:language>
  <cp:keywords/>
  <dcterms:created xsi:type="dcterms:W3CDTF">2026-10-10T03:49:32Z</dcterms:created>
  <dcterms:modified xsi:type="dcterms:W3CDTF">2026-10-10T03:49:32Z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