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Judge</w:t>
      </w:r>
      <w:r>
        <w:t xml:space="preserve"> </w:t>
      </w:r>
      <w:r>
        <w:t xml:space="preserve">System</w:t>
      </w:r>
      <w:r>
        <w:t xml:space="preserve"> </w:t>
      </w:r>
      <w:r>
        <w:t xml:space="preserve">-</w:t>
      </w:r>
      <w:r>
        <w:t xml:space="preserve"> </w:t>
      </w:r>
      <w:r>
        <w:t xml:space="preserve">Argentina</w:t>
      </w:r>
      <w:r>
        <w:t xml:space="preserve"> </w:t>
      </w:r>
      <w:r>
        <w:t xml:space="preserve">Buenos</w:t>
      </w:r>
      <w:r>
        <w:t xml:space="preserve"> </w:t>
      </w:r>
      <w:r>
        <w:t xml:space="preserve">Aires</w:t>
      </w:r>
    </w:p>
    <w:bookmarkStart w:id="20" w:name="quotation-estimate"/>
    <w:p>
      <w:pPr>
        <w:pStyle w:val="Heading1"/>
      </w:pPr>
      <w:r>
        <w:t xml:space="preserve">Quotation Estimate</w:t>
      </w:r>
    </w:p>
    <w:p>
      <w:pPr>
        <w:pStyle w:val="FirstParagraph"/>
      </w:pPr>
      <w:r>
        <w:t xml:space="preserve">Official Commercial Proposal — Judge Judicial Management System</w:t>
      </w:r>
    </w:p>
    <w:p>
      <w:pPr>
        <w:pStyle w:val="BodyText"/>
      </w:pPr>
      <w:r>
        <w:t xml:space="preserve">Argentina — Buenos Aires</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No.:</w:t>
            </w:r>
          </w:p>
        </w:tc>
        <w:tc>
          <w:tcPr/>
          <w:p>
            <w:pPr>
              <w:pStyle w:val="Compact"/>
              <w:jc w:val="left"/>
            </w:pPr>
            <w:r>
              <w:t xml:space="preserve">QE-JUDGE-BA-2025-0472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Validity Period:</w:t>
            </w:r>
          </w:p>
        </w:tc>
        <w:tc>
          <w:tcPr/>
          <w:p>
            <w:pPr>
              <w:pStyle w:val="Compact"/>
              <w:jc w:val="left"/>
            </w:pPr>
            <w:r>
              <w:t xml:space="preserve">30 calendar days from the date of issue (expires 14 July 2025)</w:t>
            </w:r>
          </w:p>
        </w:tc>
      </w:tr>
      <w:tr>
        <w:tc>
          <w:tcPr/>
          <w:p>
            <w:pPr>
              <w:pStyle w:val="Compact"/>
              <w:jc w:val="left"/>
            </w:pPr>
            <w:r>
              <w:t xml:space="preserve">Prepared By:</w:t>
            </w:r>
          </w:p>
        </w:tc>
        <w:tc>
          <w:tcPr/>
          <w:p>
            <w:pPr>
              <w:pStyle w:val="Compact"/>
              <w:jc w:val="left"/>
            </w:pPr>
            <w:r>
              <w:t xml:space="preserve">Meridian Legal Technologies S.A. — Av. Corrientes 1250, Piso 14, C1043AAE, Buenos Aires, Argentina</w:t>
            </w:r>
          </w:p>
        </w:tc>
      </w:tr>
      <w:tr>
        <w:tc>
          <w:tcPr/>
          <w:p>
            <w:pPr>
              <w:pStyle w:val="Compact"/>
              <w:jc w:val="left"/>
            </w:pPr>
            <w:r>
              <w:t xml:space="preserve">Prepared For:</w:t>
            </w:r>
          </w:p>
        </w:tc>
        <w:tc>
          <w:tcPr/>
          <w:p>
            <w:pPr>
              <w:pStyle w:val="Compact"/>
              <w:jc w:val="left"/>
            </w:pPr>
            <w:r>
              <w:t xml:space="preserve">Power Judicial of the City of Buenos Aires — Ministry of Justice, Av. de Mayo 575, C1005ABQ, Buenos Aires, Argentina</w:t>
            </w:r>
          </w:p>
        </w:tc>
      </w:tr>
      <w:tr>
        <w:tc>
          <w:tcPr/>
          <w:p>
            <w:pPr>
              <w:pStyle w:val="Compact"/>
              <w:jc w:val="left"/>
            </w:pPr>
            <w:r>
              <w:t xml:space="preserve">Currency:</w:t>
            </w:r>
          </w:p>
        </w:tc>
        <w:tc>
          <w:tcPr/>
          <w:p>
            <w:pPr>
              <w:pStyle w:val="Compact"/>
              <w:jc w:val="left"/>
            </w:pPr>
            <w:r>
              <w:t xml:space="preserve">Argentine Peso (ARS) — All amounts are inclusive of IVA (21%) unless otherwise stated</w:t>
            </w:r>
          </w:p>
        </w:tc>
      </w:tr>
    </w:tbl>
    <w:bookmarkStart w:id="21" w:name="scope-of-the-quotation-estimate"/>
    <w:p>
      <w:pPr>
        <w:pStyle w:val="Heading2"/>
      </w:pPr>
      <w:r>
        <w:t xml:space="preserve">1. Scope of the Quotation Estimate</w:t>
      </w:r>
    </w:p>
    <w:p>
      <w:pPr>
        <w:pStyle w:val="FirstParagraph"/>
      </w:pPr>
      <w:r>
        <w:t xml:space="preserve">This Quotation Estimate is issued by Meridian Legal Technologies S.A. in response to the formal request for proposal (RFP No. PJ-BA-2025-118) submitted by the Power Judicial of the City of Buenos Aires. The present document provides a comprehensive, itemized cost breakdown for the design, development, deployment, and ongoing maintenance of the</w:t>
      </w:r>
      <w:r>
        <w:t xml:space="preserve"> </w:t>
      </w:r>
      <w:r>
        <w:rPr>
          <w:bCs/>
          <w:b/>
        </w:rPr>
        <w:t xml:space="preserve">Judge</w:t>
      </w:r>
      <w:r>
        <w:t xml:space="preserve"> </w:t>
      </w:r>
      <w:r>
        <w:t xml:space="preserve">Judicial Management System, a proprietary integrated platform engineered to modernize case administration, digital evidence handling, scheduling of hearings, and inter-court communication across all judicial circuits operating within the jurisdiction of Buenos Aires, Argentina.</w:t>
      </w:r>
    </w:p>
    <w:p>
      <w:pPr>
        <w:pStyle w:val="BodyText"/>
      </w:pPr>
      <w:r>
        <w:t xml:space="preserve">The</w:t>
      </w:r>
      <w:r>
        <w:t xml:space="preserve"> </w:t>
      </w:r>
      <w:r>
        <w:rPr>
          <w:bCs/>
          <w:b/>
        </w:rPr>
        <w:t xml:space="preserve">Judge</w:t>
      </w:r>
      <w:r>
        <w:t xml:space="preserve"> </w:t>
      </w:r>
      <w:r>
        <w:t xml:space="preserve">system has been specifically adapted to comply with the procedural frameworks established by the Constitution of the City of Buenos Aires, the Civil and Commercial Code of the Nation, the Criminal Procedure Code applicable to the City, and all data-protection regulations enforced by the National Office of Personal Data Protection (AAIP). All deliverables described in this Quotation Estimate are scoped exclusively for implementation and operation within the metropolitan area of Buenos Aires and its immediate judicial districts.</w:t>
      </w:r>
    </w:p>
    <w:bookmarkEnd w:id="21"/>
    <w:bookmarkStart w:id="22"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(ARS)</w:t>
            </w:r>
          </w:p>
        </w:tc>
        <w:tc>
          <w:tcPr/>
          <w:p>
            <w:pPr>
              <w:pStyle w:val="Compact"/>
              <w:jc w:val="left"/>
            </w:pPr>
            <w:r>
              <w:t xml:space="preserve">Subtotal (ARS)</w:t>
            </w:r>
          </w:p>
        </w:tc>
      </w:tr>
      <w:tr>
        <w:tc>
          <w:tcPr/>
          <w:p>
            <w:pPr>
              <w:pStyle w:val="Compact"/>
              <w:jc w:val="left"/>
            </w:pPr>
            <w:r>
              <w:t xml:space="preserve">01</w:t>
            </w:r>
          </w:p>
        </w:tc>
        <w:tc>
          <w:tcPr/>
          <w:p>
            <w:pPr>
              <w:pStyle w:val="Compact"/>
              <w:jc w:val="left"/>
            </w:pPr>
            <w:r>
              <w:rPr>
                <w:bCs/>
                <w:b/>
              </w:rPr>
              <w:t xml:space="preserve">Judge</w:t>
            </w:r>
            <w:r>
              <w:t xml:space="preserve"> </w:t>
            </w:r>
            <w:r>
              <w:t xml:space="preserve">Core Platform License — Perpetual enterprise license for the Judge case-management engine, including modules for civil, criminal, family, and commercial courts. Deployed on-premises at the Buenos Aires central data center.</w:t>
            </w:r>
          </w:p>
        </w:tc>
        <w:tc>
          <w:tcPr/>
          <w:p>
            <w:pPr>
              <w:pStyle w:val="Compact"/>
              <w:jc w:val="left"/>
            </w:pPr>
            <w:r>
              <w:t xml:space="preserve">1</w:t>
            </w:r>
          </w:p>
        </w:tc>
        <w:tc>
          <w:tcPr/>
          <w:p>
            <w:pPr>
              <w:pStyle w:val="Compact"/>
              <w:jc w:val="left"/>
            </w:pPr>
            <w:r>
              <w:t xml:space="preserve">48,500,000.00</w:t>
            </w:r>
          </w:p>
        </w:tc>
        <w:tc>
          <w:tcPr/>
          <w:p>
            <w:pPr>
              <w:pStyle w:val="Compact"/>
              <w:jc w:val="left"/>
            </w:pPr>
            <w:r>
              <w:t xml:space="preserve">48,500,000.00</w:t>
            </w:r>
          </w:p>
        </w:tc>
      </w:tr>
      <w:tr>
        <w:tc>
          <w:tcPr/>
          <w:p>
            <w:pPr>
              <w:pStyle w:val="Compact"/>
              <w:jc w:val="left"/>
            </w:pPr>
            <w:r>
              <w:t xml:space="preserve">02</w:t>
            </w:r>
          </w:p>
        </w:tc>
        <w:tc>
          <w:tcPr/>
          <w:p>
            <w:pPr>
              <w:pStyle w:val="Compact"/>
              <w:jc w:val="left"/>
            </w:pPr>
            <w:r>
              <w:rPr>
                <w:bCs/>
                <w:b/>
              </w:rPr>
              <w:t xml:space="preserve">Judge</w:t>
            </w:r>
            <w:r>
              <w:t xml:space="preserve"> </w:t>
            </w:r>
            <w:r>
              <w:t xml:space="preserve">Digital Evidence &amp; Chain-of-Custody Module — Encrypted storage, blockchain-anchored audit trail, and integration with the forensic laboratories of the Buenos Aires judicial system.</w:t>
            </w:r>
          </w:p>
        </w:tc>
        <w:tc>
          <w:tcPr/>
          <w:p>
            <w:pPr>
              <w:pStyle w:val="Compact"/>
              <w:jc w:val="left"/>
            </w:pPr>
            <w:r>
              <w:t xml:space="preserve">1</w:t>
            </w:r>
          </w:p>
        </w:tc>
        <w:tc>
          <w:tcPr/>
          <w:p>
            <w:pPr>
              <w:pStyle w:val="Compact"/>
              <w:jc w:val="left"/>
            </w:pPr>
            <w:r>
              <w:t xml:space="preserve">22,300,000.00</w:t>
            </w:r>
          </w:p>
        </w:tc>
        <w:tc>
          <w:tcPr/>
          <w:p>
            <w:pPr>
              <w:pStyle w:val="Compact"/>
              <w:jc w:val="left"/>
            </w:pPr>
            <w:r>
              <w:t xml:space="preserve">22,300,000.00</w:t>
            </w:r>
          </w:p>
        </w:tc>
      </w:tr>
      <w:tr>
        <w:tc>
          <w:tcPr/>
          <w:p>
            <w:pPr>
              <w:pStyle w:val="Compact"/>
              <w:jc w:val="left"/>
            </w:pPr>
            <w:r>
              <w:t xml:space="preserve">03</w:t>
            </w:r>
          </w:p>
        </w:tc>
        <w:tc>
          <w:tcPr/>
          <w:p>
            <w:pPr>
              <w:pStyle w:val="Compact"/>
              <w:jc w:val="left"/>
            </w:pPr>
            <w:r>
              <w:rPr>
                <w:bCs/>
                <w:b/>
              </w:rPr>
              <w:t xml:space="preserve">Judge</w:t>
            </w:r>
            <w:r>
              <w:t xml:space="preserve"> </w:t>
            </w:r>
            <w:r>
              <w:t xml:space="preserve">Hearing Scheduling &amp; Virtual Courtroom Module — Real-time video-conferencing infrastructure, electronic docketing, and automated notification services for all 42 courtrooms in Buenos Aires.</w:t>
            </w:r>
          </w:p>
        </w:tc>
        <w:tc>
          <w:tcPr/>
          <w:p>
            <w:pPr>
              <w:pStyle w:val="Compact"/>
              <w:jc w:val="left"/>
            </w:pPr>
            <w:r>
              <w:t xml:space="preserve">42</w:t>
            </w:r>
          </w:p>
        </w:tc>
        <w:tc>
          <w:tcPr/>
          <w:p>
            <w:pPr>
              <w:pStyle w:val="Compact"/>
              <w:jc w:val="left"/>
            </w:pPr>
            <w:r>
              <w:t xml:space="preserve">1,850,000.00</w:t>
            </w:r>
          </w:p>
        </w:tc>
        <w:tc>
          <w:tcPr/>
          <w:p>
            <w:pPr>
              <w:pStyle w:val="Compact"/>
              <w:jc w:val="left"/>
            </w:pPr>
            <w:r>
              <w:t xml:space="preserve">77,700,000.00</w:t>
            </w:r>
          </w:p>
        </w:tc>
      </w:tr>
      <w:tr>
        <w:tc>
          <w:tcPr/>
          <w:p>
            <w:pPr>
              <w:pStyle w:val="Compact"/>
              <w:jc w:val="left"/>
            </w:pPr>
            <w:r>
              <w:t xml:space="preserve">04</w:t>
            </w:r>
          </w:p>
        </w:tc>
        <w:tc>
          <w:tcPr/>
          <w:p>
            <w:pPr>
              <w:pStyle w:val="Compact"/>
              <w:jc w:val="left"/>
            </w:pPr>
            <w:r>
              <w:rPr>
                <w:bCs/>
                <w:b/>
              </w:rPr>
              <w:t xml:space="preserve">Judge</w:t>
            </w:r>
            <w:r>
              <w:t xml:space="preserve"> </w:t>
            </w:r>
            <w:r>
              <w:t xml:space="preserve">Inter-Court Communication &amp; Appeals Routing Engine — Secure messaging, document exchange, and hierarchical case-routing between first-instance courts and the Superior Court of Justice of the City of Buenos Aires.</w:t>
            </w:r>
          </w:p>
        </w:tc>
        <w:tc>
          <w:tcPr/>
          <w:p>
            <w:pPr>
              <w:pStyle w:val="Compact"/>
              <w:jc w:val="left"/>
            </w:pPr>
            <w:r>
              <w:t xml:space="preserve">1</w:t>
            </w:r>
          </w:p>
        </w:tc>
        <w:tc>
          <w:tcPr/>
          <w:p>
            <w:pPr>
              <w:pStyle w:val="Compact"/>
              <w:jc w:val="left"/>
            </w:pPr>
            <w:r>
              <w:t xml:space="preserve">15,600,000.00</w:t>
            </w:r>
          </w:p>
        </w:tc>
        <w:tc>
          <w:tcPr/>
          <w:p>
            <w:pPr>
              <w:pStyle w:val="Compact"/>
              <w:jc w:val="left"/>
            </w:pPr>
            <w:r>
              <w:t xml:space="preserve">15,600,000.00</w:t>
            </w:r>
          </w:p>
        </w:tc>
      </w:tr>
      <w:tr>
        <w:tc>
          <w:tcPr/>
          <w:p>
            <w:pPr>
              <w:pStyle w:val="Compact"/>
              <w:jc w:val="left"/>
            </w:pPr>
            <w:r>
              <w:t xml:space="preserve">05</w:t>
            </w:r>
          </w:p>
        </w:tc>
        <w:tc>
          <w:tcPr/>
          <w:p>
            <w:pPr>
              <w:pStyle w:val="Compact"/>
              <w:jc w:val="left"/>
            </w:pPr>
            <w:r>
              <w:t xml:space="preserve">Hardware &amp; Infrastructure Provisioning — Server racks, network switches, UPS units, and climate-control equipment for the Buenos Aires primary and secondary data centers.</w:t>
            </w:r>
          </w:p>
        </w:tc>
        <w:tc>
          <w:tcPr/>
          <w:p>
            <w:pPr>
              <w:pStyle w:val="Compact"/>
              <w:jc w:val="left"/>
            </w:pPr>
            <w:r>
              <w:t xml:space="preserve">1</w:t>
            </w:r>
          </w:p>
        </w:tc>
        <w:tc>
          <w:tcPr/>
          <w:p>
            <w:pPr>
              <w:pStyle w:val="Compact"/>
              <w:jc w:val="left"/>
            </w:pPr>
            <w:r>
              <w:t xml:space="preserve">34,200,000.00</w:t>
            </w:r>
          </w:p>
        </w:tc>
        <w:tc>
          <w:tcPr/>
          <w:p>
            <w:pPr>
              <w:pStyle w:val="Compact"/>
              <w:jc w:val="left"/>
            </w:pPr>
            <w:r>
              <w:t xml:space="preserve">34,200,000.00</w:t>
            </w:r>
          </w:p>
        </w:tc>
      </w:tr>
      <w:tr>
        <w:tc>
          <w:tcPr/>
          <w:p>
            <w:pPr>
              <w:pStyle w:val="Compact"/>
              <w:jc w:val="left"/>
            </w:pPr>
            <w:r>
              <w:t xml:space="preserve">06</w:t>
            </w:r>
          </w:p>
        </w:tc>
        <w:tc>
          <w:tcPr/>
          <w:p>
            <w:pPr>
              <w:pStyle w:val="Compact"/>
              <w:jc w:val="left"/>
            </w:pPr>
            <w:r>
              <w:t xml:space="preserve">Custom Integration &amp; Data Migration — Migration of approximately 1.2 million historical case files from legacy systems into the Judge platform, including OCR processing and metadata tagging.</w:t>
            </w:r>
          </w:p>
        </w:tc>
        <w:tc>
          <w:tcPr/>
          <w:p>
            <w:pPr>
              <w:pStyle w:val="Compact"/>
              <w:jc w:val="left"/>
            </w:pPr>
            <w:r>
              <w:t xml:space="preserve">1</w:t>
            </w:r>
          </w:p>
        </w:tc>
        <w:tc>
          <w:tcPr/>
          <w:p>
            <w:pPr>
              <w:pStyle w:val="Compact"/>
              <w:jc w:val="left"/>
            </w:pPr>
            <w:r>
              <w:t xml:space="preserve">28,900,000.00</w:t>
            </w:r>
          </w:p>
        </w:tc>
        <w:tc>
          <w:tcPr/>
          <w:p>
            <w:pPr>
              <w:pStyle w:val="Compact"/>
              <w:jc w:val="left"/>
            </w:pPr>
            <w:r>
              <w:t xml:space="preserve">28,900,000.00</w:t>
            </w:r>
          </w:p>
        </w:tc>
      </w:tr>
      <w:tr>
        <w:tc>
          <w:tcPr/>
          <w:p>
            <w:pPr>
              <w:pStyle w:val="Compact"/>
              <w:jc w:val="left"/>
            </w:pPr>
            <w:r>
              <w:t xml:space="preserve">07</w:t>
            </w:r>
          </w:p>
        </w:tc>
        <w:tc>
          <w:tcPr/>
          <w:p>
            <w:pPr>
              <w:pStyle w:val="Compact"/>
              <w:jc w:val="left"/>
            </w:pPr>
            <w:r>
              <w:t xml:space="preserve">Training &amp; Capacity Building — On-site training programs for 350 judicial officers, court clerks, and IT support staff across Buenos Aires. Includes bilingual (Spanish/English) documentation.</w:t>
            </w:r>
          </w:p>
        </w:tc>
        <w:tc>
          <w:tcPr/>
          <w:p>
            <w:pPr>
              <w:pStyle w:val="Compact"/>
              <w:jc w:val="left"/>
            </w:pPr>
            <w:r>
              <w:t xml:space="preserve">1</w:t>
            </w:r>
          </w:p>
        </w:tc>
        <w:tc>
          <w:tcPr/>
          <w:p>
            <w:pPr>
              <w:pStyle w:val="Compact"/>
              <w:jc w:val="left"/>
            </w:pPr>
            <w:r>
              <w:t xml:space="preserve">9,800,000.00</w:t>
            </w:r>
          </w:p>
        </w:tc>
        <w:tc>
          <w:tcPr/>
          <w:p>
            <w:pPr>
              <w:pStyle w:val="Compact"/>
              <w:jc w:val="left"/>
            </w:pPr>
            <w:r>
              <w:t xml:space="preserve">9,800,000.00</w:t>
            </w:r>
          </w:p>
        </w:tc>
      </w:tr>
      <w:tr>
        <w:tc>
          <w:tcPr/>
          <w:p>
            <w:pPr>
              <w:pStyle w:val="Compact"/>
              <w:jc w:val="left"/>
            </w:pPr>
            <w:r>
              <w:t xml:space="preserve">08</w:t>
            </w:r>
          </w:p>
        </w:tc>
        <w:tc>
          <w:tcPr/>
          <w:p>
            <w:pPr>
              <w:pStyle w:val="Compact"/>
              <w:jc w:val="left"/>
            </w:pPr>
            <w:r>
              <w:t xml:space="preserve">Annual Maintenance, Support &amp; Updates (Year 1) — 24/7 technical support, quarterly software patches, security audits, and compliance updates aligned with Argentine judicial regulations.</w:t>
            </w:r>
          </w:p>
        </w:tc>
        <w:tc>
          <w:tcPr/>
          <w:p>
            <w:pPr>
              <w:pStyle w:val="Compact"/>
              <w:jc w:val="left"/>
            </w:pPr>
            <w:r>
              <w:t xml:space="preserve">1</w:t>
            </w:r>
          </w:p>
        </w:tc>
        <w:tc>
          <w:tcPr/>
          <w:p>
            <w:pPr>
              <w:pStyle w:val="Compact"/>
              <w:jc w:val="left"/>
            </w:pPr>
            <w:r>
              <w:t xml:space="preserve">12,400,000.00</w:t>
            </w:r>
          </w:p>
        </w:tc>
        <w:tc>
          <w:tcPr/>
          <w:p>
            <w:pPr>
              <w:pStyle w:val="Compact"/>
              <w:jc w:val="left"/>
            </w:pPr>
            <w:r>
              <w:t xml:space="preserve">12,400,000.00</w:t>
            </w:r>
          </w:p>
        </w:tc>
      </w:tr>
      <w:tr>
        <w:tc>
          <w:tcPr>
            <w:gridSpan w:val="4"/>
          </w:tcPr>
          <w:p>
            <w:pPr>
              <w:pStyle w:val="Compact"/>
              <w:jc w:val="right"/>
            </w:pPr>
            <w:r>
              <w:t xml:space="preserve">TOTAL ESTIMATED COST (inclusive of IVA 21%):</w:t>
            </w:r>
          </w:p>
        </w:tc>
        <w:tc>
          <w:tcPr/>
          <w:p>
            <w:pPr>
              <w:pStyle w:val="Compact"/>
              <w:jc w:val="left"/>
            </w:pPr>
            <w:r>
              <w:t xml:space="preserve">249,400,000.00 ARS</w:t>
            </w:r>
          </w:p>
        </w:tc>
      </w:tr>
    </w:tbl>
    <w:bookmarkEnd w:id="22"/>
    <w:bookmarkStart w:id="23" w:name="project-timeline-milestones"/>
    <w:p>
      <w:pPr>
        <w:pStyle w:val="Heading2"/>
      </w:pPr>
      <w:r>
        <w:t xml:space="preserve">3. Project Timeline &amp; Milestones</w:t>
      </w:r>
    </w:p>
    <w:p>
      <w:pPr>
        <w:pStyle w:val="FirstParagraph"/>
      </w:pPr>
      <w:r>
        <w:t xml:space="preserve">The complete deployment of the</w:t>
      </w:r>
      <w:r>
        <w:t xml:space="preserve"> </w:t>
      </w:r>
      <w:r>
        <w:rPr>
          <w:bCs/>
          <w:b/>
        </w:rPr>
        <w:t xml:space="preserve">Judge</w:t>
      </w:r>
      <w:r>
        <w:t xml:space="preserve"> </w:t>
      </w:r>
      <w:r>
        <w:t xml:space="preserve">system in Buenos Aires is projected to span</w:t>
      </w:r>
      <w:r>
        <w:t xml:space="preserve"> </w:t>
      </w:r>
      <w:r>
        <w:rPr>
          <w:bCs/>
          <w:b/>
        </w:rPr>
        <w:t xml:space="preserve">14 months</w:t>
      </w:r>
      <w:r>
        <w:t xml:space="preserve"> </w:t>
      </w:r>
      <w:r>
        <w:t xml:space="preserve">from the date of contract execution. Phase 1 (months 1–4) covers infrastructure provisioning and core platform installation. Phase 2 (months 5–8) addresses module configuration, data migration, and integration testing. Phase 3 (months 9–12) involves pilot deployment in three selected courtrooms in the City of Buenos Aires, followed by full rollout in months 13–14. All milestones are subject to approval by the overseeing committee of the Power Judicial of Buenos Aires.</w:t>
      </w:r>
    </w:p>
    <w:bookmarkEnd w:id="23"/>
    <w:bookmarkStart w:id="24" w:name="X985eb999f0cfcda5f1af1a675bf0b7c2e0a6c64"/>
    <w:p>
      <w:pPr>
        <w:pStyle w:val="Heading2"/>
      </w:pPr>
      <w:r>
        <w:t xml:space="preserve">4. Terms and Conditions of This Quotation Estimate</w:t>
      </w:r>
    </w:p>
    <w:p>
      <w:pPr>
        <w:numPr>
          <w:ilvl w:val="0"/>
          <w:numId w:val="1001"/>
        </w:numPr>
        <w:pStyle w:val="Compact"/>
      </w:pPr>
      <w:r>
        <w:t xml:space="preserve">This Quotation Estimate is a non-binding commercial proposal and does not constitute a contractual obligation until a formal purchase order or government contract is executed by both parties in accordance with Argentine public procurement law (Ley 27.431).</w:t>
      </w:r>
    </w:p>
    <w:p>
      <w:pPr>
        <w:numPr>
          <w:ilvl w:val="0"/>
          <w:numId w:val="1001"/>
        </w:numPr>
        <w:pStyle w:val="Compact"/>
      </w:pPr>
      <w:r>
        <w:t xml:space="preserve">All prices are quoted in Argentine Pesos (ARS) and are subject to adjustment in the event of a devaluation of the peso exceeding 15% relative to the USD between the date of this Quotation Estimate and the date of contract signing.</w:t>
      </w:r>
    </w:p>
    <w:p>
      <w:pPr>
        <w:numPr>
          <w:ilvl w:val="0"/>
          <w:numId w:val="1001"/>
        </w:numPr>
        <w:pStyle w:val="Compact"/>
      </w:pPr>
      <w:r>
        <w:t xml:space="preserve">Payment terms: 30% upon contract execution, 40% upon completion of Phase 2, and 30% upon final acceptance and sign-off by the Buenos Aires judicial authority.</w:t>
      </w:r>
    </w:p>
    <w:p>
      <w:pPr>
        <w:numPr>
          <w:ilvl w:val="0"/>
          <w:numId w:val="1001"/>
        </w:numPr>
        <w:pStyle w:val="Compact"/>
      </w:pPr>
      <w:r>
        <w:t xml:space="preserve">The</w:t>
      </w:r>
      <w:r>
        <w:t xml:space="preserve"> </w:t>
      </w:r>
      <w:r>
        <w:rPr>
          <w:bCs/>
          <w:b/>
        </w:rPr>
        <w:t xml:space="preserve">Judge</w:t>
      </w:r>
      <w:r>
        <w:t xml:space="preserve"> </w:t>
      </w:r>
      <w:r>
        <w:t xml:space="preserve">platform intellectual property remains the exclusive property of Meridian Legal Technologies S.A. The Power Judicial of Buenos Aires receives a perpetual, non-transferable license for use within its jurisdiction.</w:t>
      </w:r>
    </w:p>
    <w:p>
      <w:pPr>
        <w:numPr>
          <w:ilvl w:val="0"/>
          <w:numId w:val="1001"/>
        </w:numPr>
        <w:pStyle w:val="Compact"/>
      </w:pPr>
      <w:r>
        <w:t xml:space="preserve">All personal data processed by the Judge system shall be stored exclusively on servers located within the territory of Argentina, in compliance with Ley 25.326 (Personal Data Protection Law) and the regulations of the AAIP.</w:t>
      </w:r>
    </w:p>
    <w:p>
      <w:pPr>
        <w:numPr>
          <w:ilvl w:val="0"/>
          <w:numId w:val="1001"/>
        </w:numPr>
        <w:pStyle w:val="Compact"/>
      </w:pPr>
      <w:r>
        <w:t xml:space="preserve">This Quotation Estimate is valid for 30 calendar days. Any request for revision beyond this period will require a re-issuance with updated pricing.</w:t>
      </w:r>
    </w:p>
    <w:p>
      <w:pPr>
        <w:numPr>
          <w:ilvl w:val="0"/>
          <w:numId w:val="1001"/>
        </w:numPr>
        <w:pStyle w:val="Compact"/>
      </w:pPr>
      <w:r>
        <w:t xml:space="preserve">Disputes arising from this Quotation Estimate or any subsequent contract shall be resolved under the jurisdiction of the commercial courts of the City of Buenos Aires, Argentina.</w:t>
      </w:r>
    </w:p>
    <w:p>
      <w:pPr>
        <w:pStyle w:val="FirstParagraph"/>
      </w:pPr>
      <w:r>
        <w:rPr>
          <w:bCs/>
          <w:b/>
        </w:rPr>
        <w:t xml:space="preserve">For Meridian Legal Technologies S.A.</w:t>
      </w:r>
    </w:p>
    <w:p>
      <w:pPr>
        <w:pStyle w:val="BodyText"/>
      </w:pPr>
      <w:r>
        <w:t xml:space="preserve">Lic. Roberto Fernández Alarcón</w:t>
      </w:r>
      <w:r>
        <w:br/>
      </w:r>
      <w:r>
        <w:t xml:space="preserve">Director Comercial</w:t>
      </w:r>
      <w:r>
        <w:br/>
      </w:r>
      <w:r>
        <w:t xml:space="preserve">Buenos Aires, Argentina</w:t>
      </w:r>
    </w:p>
    <w:p>
      <w:pPr>
        <w:pStyle w:val="BodyText"/>
      </w:pPr>
      <w:r>
        <w:rPr>
          <w:bCs/>
          <w:b/>
        </w:rPr>
        <w:t xml:space="preserve">For the Power Judicial of the City of Buenos Aires</w:t>
      </w:r>
    </w:p>
    <w:p>
      <w:pPr>
        <w:pStyle w:val="BodyText"/>
      </w:pPr>
      <w:r>
        <w:t xml:space="preserve">Dr. (a) ___________________________</w:t>
      </w:r>
      <w:r>
        <w:br/>
      </w:r>
      <w:r>
        <w:t xml:space="preserve">Jefe de Gabinete</w:t>
      </w:r>
      <w:r>
        <w:br/>
      </w:r>
      <w:r>
        <w:t xml:space="preserve">Buenos Aires, Argentina</w:t>
      </w:r>
    </w:p>
    <w:p>
      <w:pPr>
        <w:pStyle w:val="BodyText"/>
      </w:pPr>
      <w:r>
        <w:t xml:space="preserve">This Quotation Estimate (QE-JUDGE-BA-2025-0472) was prepared exclusively for the Power Judicial of the City of Buenos Aires, Argentina. Unauthorized reproduction or distribution of this document is prohibited. © 2025 Meridian Legal Technologies S.A.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Judge System - Argentina Buenos Aires</dc:title>
  <dc:creator/>
  <dc:language>en</dc:language>
  <cp:keywords/>
  <dcterms:created xsi:type="dcterms:W3CDTF">2026-10-10T04:11:22Z</dcterms:created>
  <dcterms:modified xsi:type="dcterms:W3CDTF">2026-10-10T04:11:22Z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