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Judge</w:t>
      </w:r>
      <w:r>
        <w:t xml:space="preserve"> </w:t>
      </w:r>
      <w:r>
        <w:t xml:space="preserve">Services</w:t>
      </w:r>
      <w:r>
        <w:t xml:space="preserve"> </w:t>
      </w:r>
      <w:r>
        <w:t xml:space="preserve">-</w:t>
      </w:r>
      <w:r>
        <w:t xml:space="preserve"> </w:t>
      </w:r>
      <w:r>
        <w:t xml:space="preserve">Canada</w:t>
      </w:r>
      <w:r>
        <w:t xml:space="preserve"> </w:t>
      </w:r>
      <w:r>
        <w:t xml:space="preserve">Montreal</w:t>
      </w:r>
    </w:p>
    <w:bookmarkStart w:id="21" w:name="quotation-estimate"/>
    <w:p>
      <w:pPr>
        <w:pStyle w:val="Heading1"/>
      </w:pPr>
      <w:r>
        <w:t xml:space="preserve">QUOTATION ESTIMATE</w:t>
      </w:r>
    </w:p>
    <w:bookmarkStart w:id="20" w:name="Xc80709a1f1be86872e84b819a9d3d8edc20216b"/>
    <w:p>
      <w:pPr>
        <w:pStyle w:val="Heading2"/>
      </w:pPr>
      <w:r>
        <w:t xml:space="preserve">Judge Services — Legal &amp; Arbitration Proceedings</w:t>
      </w:r>
    </w:p>
    <w:p>
      <w:pPr>
        <w:pStyle w:val="FirstParagraph"/>
      </w:pPr>
      <w:r>
        <w:rPr>
          <w:bCs/>
          <w:b/>
        </w:rPr>
        <w:t xml:space="preserve">Montreal, Canada</w:t>
      </w:r>
      <w:r>
        <w:t xml:space="preserve"> </w:t>
      </w:r>
      <w:r>
        <w:t xml:space="preserve">| Province of Québec</w:t>
      </w:r>
    </w:p>
    <w:bookmarkEnd w:id="20"/>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QE-2025-MTL-04782</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w:t>
            </w:r>
          </w:p>
        </w:tc>
        <w:tc>
          <w:tcPr/>
          <w:p>
            <w:pPr>
              <w:pStyle w:val="Compact"/>
              <w:jc w:val="left"/>
            </w:pPr>
            <w:r>
              <w:t xml:space="preserve">Currency:</w:t>
            </w:r>
          </w:p>
        </w:tc>
        <w:tc>
          <w:tcPr/>
          <w:p>
            <w:pPr>
              <w:pStyle w:val="Compact"/>
              <w:jc w:val="left"/>
            </w:pPr>
            <w:r>
              <w:t xml:space="preserve">Canadian Dollars (CAD)</w:t>
            </w:r>
          </w:p>
        </w:tc>
      </w:tr>
      <w:tr>
        <w:tc>
          <w:tcPr/>
          <w:p>
            <w:pPr>
              <w:pStyle w:val="Compact"/>
              <w:jc w:val="left"/>
            </w:pPr>
            <w:r>
              <w:t xml:space="preserve">Prepared By:</w:t>
            </w:r>
          </w:p>
        </w:tc>
        <w:tc>
          <w:tcPr/>
          <w:p>
            <w:pPr>
              <w:pStyle w:val="Compact"/>
              <w:jc w:val="left"/>
            </w:pPr>
            <w:r>
              <w:t xml:space="preserve">Justice Services Group Inc.</w:t>
            </w:r>
          </w:p>
        </w:tc>
        <w:tc>
          <w:tcPr/>
          <w:p>
            <w:pPr>
              <w:pStyle w:val="Compact"/>
              <w:jc w:val="left"/>
            </w:pPr>
            <w:r>
              <w:t xml:space="preserve">Location:</w:t>
            </w:r>
          </w:p>
        </w:tc>
        <w:tc>
          <w:tcPr/>
          <w:p>
            <w:pPr>
              <w:pStyle w:val="Compact"/>
              <w:jc w:val="left"/>
            </w:pPr>
            <w:r>
              <w:t xml:space="preserve">1200 Rue Sainte-Catherine Ouest, Suite 4500, Montreal, QC H3B 4W8, Canada</w:t>
            </w:r>
          </w:p>
        </w:tc>
      </w:tr>
      <w:tr>
        <w:tc>
          <w:tcPr/>
          <w:p>
            <w:pPr>
              <w:pStyle w:val="Compact"/>
              <w:jc w:val="left"/>
            </w:pPr>
            <w:r>
              <w:t xml:space="preserve">Client Name:</w:t>
            </w:r>
          </w:p>
        </w:tc>
        <w:tc>
          <w:tcPr/>
          <w:p>
            <w:pPr>
              <w:pStyle w:val="Compact"/>
              <w:jc w:val="left"/>
            </w:pPr>
            <w:r>
              <w:t xml:space="preserve">Montreal Commercial Arbitration Board</w:t>
            </w:r>
          </w:p>
        </w:tc>
        <w:tc>
          <w:tcPr/>
          <w:p>
            <w:pPr>
              <w:pStyle w:val="Compact"/>
              <w:jc w:val="left"/>
            </w:pPr>
            <w:r>
              <w:t xml:space="preserve">Client Contact:</w:t>
            </w:r>
          </w:p>
        </w:tc>
        <w:tc>
          <w:tcPr/>
          <w:p>
            <w:pPr>
              <w:pStyle w:val="Compact"/>
              <w:jc w:val="left"/>
            </w:pPr>
            <w:r>
              <w:t xml:space="preserve">Marc-André Tremblay, General Counsel</w:t>
            </w:r>
          </w:p>
        </w:tc>
      </w:tr>
    </w:tbl>
    <w:bookmarkStart w:id="22" w:name="purpose-of-this-quotation-estimate"/>
    <w:p>
      <w:pPr>
        <w:pStyle w:val="Heading2"/>
      </w:pPr>
      <w:r>
        <w:t xml:space="preserve">1. Purpose of This Quotation Estimate</w:t>
      </w:r>
    </w:p>
    <w:p>
      <w:pPr>
        <w:pStyle w:val="FirstParagraph"/>
      </w:pPr>
      <w:r>
        <w:t xml:space="preserve">This</w:t>
      </w:r>
      <w:r>
        <w:t xml:space="preserve"> </w:t>
      </w:r>
      <w:r>
        <w:rPr>
          <w:bCs/>
          <w:b/>
        </w:rPr>
        <w:t xml:space="preserve">Quotation Estimate</w:t>
      </w:r>
      <w:r>
        <w:t xml:space="preserve"> </w:t>
      </w:r>
      <w:r>
        <w:t xml:space="preserve">is issued by Justice Services Group Inc. to provide a comprehensive and itemized cost breakdown for the engagement of a qualified</w:t>
      </w:r>
      <w:r>
        <w:t xml:space="preserve"> </w:t>
      </w:r>
      <w:r>
        <w:rPr>
          <w:bCs/>
          <w:b/>
        </w:rPr>
        <w:t xml:space="preserve">Judge</w:t>
      </w:r>
      <w:r>
        <w:t xml:space="preserve"> </w:t>
      </w:r>
      <w:r>
        <w:t xml:space="preserve">to preside over a commercial arbitration proceeding scheduled to take place in</w:t>
      </w:r>
      <w:r>
        <w:t xml:space="preserve"> </w:t>
      </w:r>
      <w:r>
        <w:rPr>
          <w:bCs/>
          <w:b/>
        </w:rPr>
        <w:t xml:space="preserve">Canada Montreal</w:t>
      </w:r>
      <w:r>
        <w:t xml:space="preserve">. This document serves as a formal estimate of all fees, expenses, and associated costs related to the judicial services rendered by the appointed Judge in accordance with the rules of the</w:t>
      </w:r>
      <w:r>
        <w:t xml:space="preserve"> </w:t>
      </w:r>
      <w:r>
        <w:rPr>
          <w:iCs/>
          <w:i/>
        </w:rPr>
        <w:t xml:space="preserve">Loi sur l'arbitrage commercial</w:t>
      </w:r>
      <w:r>
        <w:t xml:space="preserve"> </w:t>
      </w:r>
      <w:r>
        <w:t xml:space="preserve">(C.C.S.Q., c. A-19.1) and the applicable federal and provincial legislation governing judicial proceedings in the Province of Québec.</w:t>
      </w:r>
    </w:p>
    <w:p>
      <w:pPr>
        <w:pStyle w:val="BodyText"/>
      </w:pPr>
      <w:r>
        <w:t xml:space="preserve">The Judge referenced in this Quotation Estimate shall be a retired Superior Court Judge of the Province of Québec with a minimum of twenty-five (25) years of experience in commercial law, contract disputes, and international trade arbitration. The Judge will be available to conduct all hearings, issue interim orders, render the final arbitral award, and perform any ancillary judicial duties as may be required by the parties to the dispute.</w:t>
      </w:r>
    </w:p>
    <w:bookmarkEnd w:id="22"/>
    <w:bookmarkStart w:id="23" w:name="scope-of-services-judge-engagement"/>
    <w:p>
      <w:pPr>
        <w:pStyle w:val="Heading2"/>
      </w:pPr>
      <w:r>
        <w:t xml:space="preserve">2. Scope of Services — Judge Engagement</w:t>
      </w:r>
    </w:p>
    <w:p>
      <w:pPr>
        <w:pStyle w:val="FirstParagraph"/>
      </w:pPr>
      <w:r>
        <w:t xml:space="preserve">The following services are included in this Quotation Estimate for the Judge's engagement in Montreal, Canada:</w:t>
      </w:r>
    </w:p>
    <w:p>
      <w:pPr>
        <w:numPr>
          <w:ilvl w:val="0"/>
          <w:numId w:val="1001"/>
        </w:numPr>
        <w:pStyle w:val="Compact"/>
      </w:pPr>
      <w:r>
        <w:t xml:space="preserve">Pre-hearing case management conference (up to 4 hours) to be held at the Montreal International Arbitration Centre (MIAC), 1000 Place de la Gare, Montreal, QC.</w:t>
      </w:r>
    </w:p>
    <w:p>
      <w:pPr>
        <w:numPr>
          <w:ilvl w:val="0"/>
          <w:numId w:val="1001"/>
        </w:numPr>
        <w:pStyle w:val="Compact"/>
      </w:pPr>
      <w:r>
        <w:t xml:space="preserve">Conduct of the main arbitration hearing (estimated 3 full days, 8 hours per day) at the MIAC facility in Canada Montreal.</w:t>
      </w:r>
    </w:p>
    <w:p>
      <w:pPr>
        <w:numPr>
          <w:ilvl w:val="0"/>
          <w:numId w:val="1001"/>
        </w:numPr>
        <w:pStyle w:val="Compact"/>
      </w:pPr>
      <w:r>
        <w:t xml:space="preserve">Review and analysis of all submitted documentary evidence, expert reports, and legal briefs (estimated 40 hours of preparation time).</w:t>
      </w:r>
    </w:p>
    <w:p>
      <w:pPr>
        <w:numPr>
          <w:ilvl w:val="0"/>
          <w:numId w:val="1001"/>
        </w:numPr>
        <w:pStyle w:val="Compact"/>
      </w:pPr>
      <w:r>
        <w:t xml:space="preserve">Issuance of any necessary interim or conservatory measures during the pendency of the proceeding.</w:t>
      </w:r>
    </w:p>
    <w:p>
      <w:pPr>
        <w:numPr>
          <w:ilvl w:val="0"/>
          <w:numId w:val="1001"/>
        </w:numPr>
        <w:pStyle w:val="Compact"/>
      </w:pPr>
      <w:r>
        <w:t xml:space="preserve">Deliberation and drafting of the final arbitral award (estimated 30 hours).</w:t>
      </w:r>
    </w:p>
    <w:p>
      <w:pPr>
        <w:numPr>
          <w:ilvl w:val="0"/>
          <w:numId w:val="1001"/>
        </w:numPr>
        <w:pStyle w:val="Compact"/>
      </w:pPr>
      <w:r>
        <w:t xml:space="preserve">Post-award oral reasons or written reasons as requested by the parties (up to 8 hours).</w:t>
      </w:r>
    </w:p>
    <w:p>
      <w:pPr>
        <w:numPr>
          <w:ilvl w:val="0"/>
          <w:numId w:val="1001"/>
        </w:numPr>
        <w:pStyle w:val="Compact"/>
      </w:pPr>
      <w:r>
        <w:t xml:space="preserve">Availability for a post-award clarification session (up to 2 hours) if required by either party within the statutory timeframe.</w:t>
      </w:r>
    </w:p>
    <w:bookmarkEnd w:id="23"/>
    <w:bookmarkStart w:id="24"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(CAD)</w:t>
            </w:r>
          </w:p>
        </w:tc>
        <w:tc>
          <w:tcPr/>
          <w:p>
            <w:pPr>
              <w:pStyle w:val="Compact"/>
              <w:jc w:val="left"/>
            </w:pPr>
            <w:r>
              <w:t xml:space="preserve">Subtotal (CAD)</w:t>
            </w:r>
          </w:p>
        </w:tc>
        <w:tc>
          <w:tcPr/>
          <w:p>
            <w:pPr>
              <w:pStyle w:val="Compact"/>
              <w:jc w:val="left"/>
            </w:pPr>
            <w:r>
              <w:t xml:space="preserve">GST (5%)</w:t>
            </w:r>
          </w:p>
        </w:tc>
      </w:tr>
      <w:tr>
        <w:tc>
          <w:tcPr/>
          <w:p>
            <w:pPr>
              <w:pStyle w:val="Compact"/>
              <w:jc w:val="left"/>
            </w:pPr>
            <w:r>
              <w:t xml:space="preserve">1</w:t>
            </w:r>
          </w:p>
        </w:tc>
        <w:tc>
          <w:tcPr/>
          <w:p>
            <w:pPr>
              <w:pStyle w:val="Compact"/>
              <w:jc w:val="left"/>
            </w:pPr>
            <w:r>
              <w:t xml:space="preserve">Judge — Pre-hearing case management conference</w:t>
            </w:r>
          </w:p>
        </w:tc>
        <w:tc>
          <w:tcPr/>
          <w:p>
            <w:pPr>
              <w:pStyle w:val="Compact"/>
              <w:jc w:val="left"/>
            </w:pPr>
            <w:r>
              <w:t xml:space="preserve">4 hrs</w:t>
            </w:r>
          </w:p>
        </w:tc>
        <w:tc>
          <w:tcPr/>
          <w:p>
            <w:pPr>
              <w:pStyle w:val="Compact"/>
              <w:jc w:val="left"/>
            </w:pPr>
            <w:r>
              <w:t xml:space="preserve">$450.00</w:t>
            </w:r>
          </w:p>
        </w:tc>
        <w:tc>
          <w:tcPr/>
          <w:p>
            <w:pPr>
              <w:pStyle w:val="Compact"/>
              <w:jc w:val="left"/>
            </w:pPr>
            <w:r>
              <w:t xml:space="preserve">$1,800.00</w:t>
            </w:r>
          </w:p>
        </w:tc>
        <w:tc>
          <w:tcPr/>
          <w:p>
            <w:pPr>
              <w:pStyle w:val="Compact"/>
              <w:jc w:val="left"/>
            </w:pPr>
            <w:r>
              <w:t xml:space="preserve">$90.00</w:t>
            </w:r>
          </w:p>
        </w:tc>
      </w:tr>
      <w:tr>
        <w:tc>
          <w:tcPr/>
          <w:p>
            <w:pPr>
              <w:pStyle w:val="Compact"/>
              <w:jc w:val="left"/>
            </w:pPr>
            <w:r>
              <w:t xml:space="preserve">2</w:t>
            </w:r>
          </w:p>
        </w:tc>
        <w:tc>
          <w:tcPr/>
          <w:p>
            <w:pPr>
              <w:pStyle w:val="Compact"/>
              <w:jc w:val="left"/>
            </w:pPr>
            <w:r>
              <w:t xml:space="preserve">Judge — Main arbitration hearing (3 days × 8 hrs)</w:t>
            </w:r>
          </w:p>
        </w:tc>
        <w:tc>
          <w:tcPr/>
          <w:p>
            <w:pPr>
              <w:pStyle w:val="Compact"/>
              <w:jc w:val="left"/>
            </w:pPr>
            <w:r>
              <w:t xml:space="preserve">24 hrs</w:t>
            </w:r>
          </w:p>
        </w:tc>
        <w:tc>
          <w:tcPr/>
          <w:p>
            <w:pPr>
              <w:pStyle w:val="Compact"/>
              <w:jc w:val="left"/>
            </w:pPr>
            <w:r>
              <w:t xml:space="preserve">$450.00</w:t>
            </w:r>
          </w:p>
        </w:tc>
        <w:tc>
          <w:tcPr/>
          <w:p>
            <w:pPr>
              <w:pStyle w:val="Compact"/>
              <w:jc w:val="left"/>
            </w:pPr>
            <w:r>
              <w:t xml:space="preserve">$10,800.00</w:t>
            </w:r>
          </w:p>
        </w:tc>
        <w:tc>
          <w:tcPr/>
          <w:p>
            <w:pPr>
              <w:pStyle w:val="Compact"/>
              <w:jc w:val="left"/>
            </w:pPr>
            <w:r>
              <w:t xml:space="preserve">$540.00</w:t>
            </w:r>
          </w:p>
        </w:tc>
      </w:tr>
      <w:tr>
        <w:tc>
          <w:tcPr/>
          <w:p>
            <w:pPr>
              <w:pStyle w:val="Compact"/>
              <w:jc w:val="left"/>
            </w:pPr>
            <w:r>
              <w:t xml:space="preserve">3</w:t>
            </w:r>
          </w:p>
        </w:tc>
        <w:tc>
          <w:tcPr/>
          <w:p>
            <w:pPr>
              <w:pStyle w:val="Compact"/>
              <w:jc w:val="left"/>
            </w:pPr>
            <w:r>
              <w:t xml:space="preserve">Judge — Case preparation, evidence review, and legal analysis</w:t>
            </w:r>
          </w:p>
        </w:tc>
        <w:tc>
          <w:tcPr/>
          <w:p>
            <w:pPr>
              <w:pStyle w:val="Compact"/>
              <w:jc w:val="left"/>
            </w:pPr>
            <w:r>
              <w:t xml:space="preserve">40 hrs</w:t>
            </w:r>
          </w:p>
        </w:tc>
        <w:tc>
          <w:tcPr/>
          <w:p>
            <w:pPr>
              <w:pStyle w:val="Compact"/>
              <w:jc w:val="left"/>
            </w:pPr>
            <w:r>
              <w:t xml:space="preserve">$375.00</w:t>
            </w:r>
          </w:p>
        </w:tc>
        <w:tc>
          <w:tcPr/>
          <w:p>
            <w:pPr>
              <w:pStyle w:val="Compact"/>
              <w:jc w:val="left"/>
            </w:pPr>
            <w:r>
              <w:t xml:space="preserve">$15,000.00</w:t>
            </w:r>
          </w:p>
        </w:tc>
        <w:tc>
          <w:tcPr/>
          <w:p>
            <w:pPr>
              <w:pStyle w:val="Compact"/>
              <w:jc w:val="left"/>
            </w:pPr>
            <w:r>
              <w:t xml:space="preserve">$750.00</w:t>
            </w:r>
          </w:p>
        </w:tc>
      </w:tr>
      <w:tr>
        <w:tc>
          <w:tcPr/>
          <w:p>
            <w:pPr>
              <w:pStyle w:val="Compact"/>
              <w:jc w:val="left"/>
            </w:pPr>
            <w:r>
              <w:t xml:space="preserve">4</w:t>
            </w:r>
          </w:p>
        </w:tc>
        <w:tc>
          <w:tcPr/>
          <w:p>
            <w:pPr>
              <w:pStyle w:val="Compact"/>
              <w:jc w:val="left"/>
            </w:pPr>
            <w:r>
              <w:t xml:space="preserve">Judge — Interim/conservatory order drafting and issuance</w:t>
            </w:r>
          </w:p>
        </w:tc>
        <w:tc>
          <w:tcPr/>
          <w:p>
            <w:pPr>
              <w:pStyle w:val="Compact"/>
              <w:jc w:val="left"/>
            </w:pPr>
            <w:r>
              <w:t xml:space="preserve">6 hrs</w:t>
            </w:r>
          </w:p>
        </w:tc>
        <w:tc>
          <w:tcPr/>
          <w:p>
            <w:pPr>
              <w:pStyle w:val="Compact"/>
              <w:jc w:val="left"/>
            </w:pPr>
            <w:r>
              <w:t xml:space="preserve">$450.00</w:t>
            </w:r>
          </w:p>
        </w:tc>
        <w:tc>
          <w:tcPr/>
          <w:p>
            <w:pPr>
              <w:pStyle w:val="Compact"/>
              <w:jc w:val="left"/>
            </w:pPr>
            <w:r>
              <w:t xml:space="preserve">$2,700.00</w:t>
            </w:r>
          </w:p>
        </w:tc>
        <w:tc>
          <w:tcPr/>
          <w:p>
            <w:pPr>
              <w:pStyle w:val="Compact"/>
              <w:jc w:val="left"/>
            </w:pPr>
            <w:r>
              <w:t xml:space="preserve">$135.00</w:t>
            </w:r>
          </w:p>
        </w:tc>
      </w:tr>
      <w:tr>
        <w:tc>
          <w:tcPr/>
          <w:p>
            <w:pPr>
              <w:pStyle w:val="Compact"/>
              <w:jc w:val="left"/>
            </w:pPr>
            <w:r>
              <w:t xml:space="preserve">5</w:t>
            </w:r>
          </w:p>
        </w:tc>
        <w:tc>
          <w:tcPr/>
          <w:p>
            <w:pPr>
              <w:pStyle w:val="Compact"/>
              <w:jc w:val="left"/>
            </w:pPr>
            <w:r>
              <w:t xml:space="preserve">Judge — Deliberation and drafting of final arbitral award</w:t>
            </w:r>
          </w:p>
        </w:tc>
        <w:tc>
          <w:tcPr/>
          <w:p>
            <w:pPr>
              <w:pStyle w:val="Compact"/>
              <w:jc w:val="left"/>
            </w:pPr>
            <w:r>
              <w:t xml:space="preserve">30 hrs</w:t>
            </w:r>
          </w:p>
        </w:tc>
        <w:tc>
          <w:tcPr/>
          <w:p>
            <w:pPr>
              <w:pStyle w:val="Compact"/>
              <w:jc w:val="left"/>
            </w:pPr>
            <w:r>
              <w:t xml:space="preserve">$400.00</w:t>
            </w:r>
          </w:p>
        </w:tc>
        <w:tc>
          <w:tcPr/>
          <w:p>
            <w:pPr>
              <w:pStyle w:val="Compact"/>
              <w:jc w:val="left"/>
            </w:pPr>
            <w:r>
              <w:t xml:space="preserve">$12,000.00</w:t>
            </w:r>
          </w:p>
        </w:tc>
        <w:tc>
          <w:tcPr/>
          <w:p>
            <w:pPr>
              <w:pStyle w:val="Compact"/>
              <w:jc w:val="left"/>
            </w:pPr>
            <w:r>
              <w:t xml:space="preserve">$600.00</w:t>
            </w:r>
          </w:p>
        </w:tc>
      </w:tr>
      <w:tr>
        <w:tc>
          <w:tcPr/>
          <w:p>
            <w:pPr>
              <w:pStyle w:val="Compact"/>
              <w:jc w:val="left"/>
            </w:pPr>
            <w:r>
              <w:t xml:space="preserve">6</w:t>
            </w:r>
          </w:p>
        </w:tc>
        <w:tc>
          <w:tcPr/>
          <w:p>
            <w:pPr>
              <w:pStyle w:val="Compact"/>
              <w:jc w:val="left"/>
            </w:pPr>
            <w:r>
              <w:t xml:space="preserve">Judge — Post-award reasons (oral or written)</w:t>
            </w:r>
          </w:p>
        </w:tc>
        <w:tc>
          <w:tcPr/>
          <w:p>
            <w:pPr>
              <w:pStyle w:val="Compact"/>
              <w:jc w:val="left"/>
            </w:pPr>
            <w:r>
              <w:t xml:space="preserve">8 hrs</w:t>
            </w:r>
          </w:p>
        </w:tc>
        <w:tc>
          <w:tcPr/>
          <w:p>
            <w:pPr>
              <w:pStyle w:val="Compact"/>
              <w:jc w:val="left"/>
            </w:pPr>
            <w:r>
              <w:t xml:space="preserve">$450.00</w:t>
            </w:r>
          </w:p>
        </w:tc>
        <w:tc>
          <w:tcPr/>
          <w:p>
            <w:pPr>
              <w:pStyle w:val="Compact"/>
              <w:jc w:val="left"/>
            </w:pPr>
            <w:r>
              <w:t xml:space="preserve">$3,600.00</w:t>
            </w:r>
          </w:p>
        </w:tc>
        <w:tc>
          <w:tcPr/>
          <w:p>
            <w:pPr>
              <w:pStyle w:val="Compact"/>
              <w:jc w:val="left"/>
            </w:pPr>
            <w:r>
              <w:t xml:space="preserve">$180.00</w:t>
            </w:r>
          </w:p>
        </w:tc>
      </w:tr>
      <w:tr>
        <w:tc>
          <w:tcPr/>
          <w:p>
            <w:pPr>
              <w:pStyle w:val="Compact"/>
              <w:jc w:val="left"/>
            </w:pPr>
            <w:r>
              <w:t xml:space="preserve">7</w:t>
            </w:r>
          </w:p>
        </w:tc>
        <w:tc>
          <w:tcPr/>
          <w:p>
            <w:pPr>
              <w:pStyle w:val="Compact"/>
              <w:jc w:val="left"/>
            </w:pPr>
            <w:r>
              <w:t xml:space="preserve">Judge — Post-award clarification session</w:t>
            </w:r>
          </w:p>
        </w:tc>
        <w:tc>
          <w:tcPr/>
          <w:p>
            <w:pPr>
              <w:pStyle w:val="Compact"/>
              <w:jc w:val="left"/>
            </w:pPr>
            <w:r>
              <w:t xml:space="preserve">2 hrs</w:t>
            </w:r>
          </w:p>
        </w:tc>
        <w:tc>
          <w:tcPr/>
          <w:p>
            <w:pPr>
              <w:pStyle w:val="Compact"/>
              <w:jc w:val="left"/>
            </w:pPr>
            <w:r>
              <w:t xml:space="preserve">$450.00</w:t>
            </w:r>
          </w:p>
        </w:tc>
        <w:tc>
          <w:tcPr/>
          <w:p>
            <w:pPr>
              <w:pStyle w:val="Compact"/>
              <w:jc w:val="left"/>
            </w:pPr>
            <w:r>
              <w:t xml:space="preserve">$900.00</w:t>
            </w:r>
          </w:p>
        </w:tc>
        <w:tc>
          <w:tcPr/>
          <w:p>
            <w:pPr>
              <w:pStyle w:val="Compact"/>
              <w:jc w:val="left"/>
            </w:pPr>
            <w:r>
              <w:t xml:space="preserve">$45.00</w:t>
            </w:r>
          </w:p>
        </w:tc>
      </w:tr>
      <w:tr>
        <w:tc>
          <w:tcPr/>
          <w:p>
            <w:pPr>
              <w:pStyle w:val="Compact"/>
              <w:jc w:val="left"/>
            </w:pPr>
            <w:r>
              <w:t xml:space="preserve">8</w:t>
            </w:r>
          </w:p>
        </w:tc>
        <w:tc>
          <w:tcPr/>
          <w:p>
            <w:pPr>
              <w:pStyle w:val="Compact"/>
              <w:jc w:val="left"/>
            </w:pPr>
            <w:r>
              <w:t xml:space="preserve">Administrative support &amp; court reporter services (Montreal, Canada)</w:t>
            </w:r>
          </w:p>
        </w:tc>
        <w:tc>
          <w:tcPr/>
          <w:p>
            <w:pPr>
              <w:pStyle w:val="Compact"/>
              <w:jc w:val="left"/>
            </w:pPr>
            <w:r>
              <w:t xml:space="preserve">3 days</w:t>
            </w:r>
          </w:p>
        </w:tc>
        <w:tc>
          <w:tcPr/>
          <w:p>
            <w:pPr>
              <w:pStyle w:val="Compact"/>
              <w:jc w:val="left"/>
            </w:pPr>
            <w:r>
              <w:t xml:space="preserve">$1,200.00</w:t>
            </w:r>
          </w:p>
        </w:tc>
        <w:tc>
          <w:tcPr/>
          <w:p>
            <w:pPr>
              <w:pStyle w:val="Compact"/>
              <w:jc w:val="left"/>
            </w:pPr>
            <w:r>
              <w:t xml:space="preserve">$3,600.00</w:t>
            </w:r>
          </w:p>
        </w:tc>
        <w:tc>
          <w:tcPr/>
          <w:p>
            <w:pPr>
              <w:pStyle w:val="Compact"/>
              <w:jc w:val="left"/>
            </w:pPr>
            <w:r>
              <w:t xml:space="preserve">$180.00</w:t>
            </w:r>
          </w:p>
        </w:tc>
      </w:tr>
      <w:tr>
        <w:tc>
          <w:tcPr/>
          <w:p>
            <w:pPr>
              <w:pStyle w:val="Compact"/>
              <w:jc w:val="left"/>
            </w:pPr>
            <w:r>
              <w:t xml:space="preserve">9</w:t>
            </w:r>
          </w:p>
        </w:tc>
        <w:tc>
          <w:tcPr/>
          <w:p>
            <w:pPr>
              <w:pStyle w:val="Compact"/>
              <w:jc w:val="left"/>
            </w:pPr>
            <w:r>
              <w:t xml:space="preserve">Facility rental — MIAC hearing room, Montreal, QC</w:t>
            </w:r>
          </w:p>
        </w:tc>
        <w:tc>
          <w:tcPr/>
          <w:p>
            <w:pPr>
              <w:pStyle w:val="Compact"/>
              <w:jc w:val="left"/>
            </w:pPr>
            <w:r>
              <w:t xml:space="preserve">3 days</w:t>
            </w:r>
          </w:p>
        </w:tc>
        <w:tc>
          <w:tcPr/>
          <w:p>
            <w:pPr>
              <w:pStyle w:val="Compact"/>
              <w:jc w:val="left"/>
            </w:pPr>
            <w:r>
              <w:t xml:space="preserve">$850.00</w:t>
            </w:r>
          </w:p>
        </w:tc>
        <w:tc>
          <w:tcPr/>
          <w:p>
            <w:pPr>
              <w:pStyle w:val="Compact"/>
              <w:jc w:val="left"/>
            </w:pPr>
            <w:r>
              <w:t xml:space="preserve">$2,550.00</w:t>
            </w:r>
          </w:p>
        </w:tc>
        <w:tc>
          <w:tcPr/>
          <w:p>
            <w:pPr>
              <w:pStyle w:val="Compact"/>
              <w:jc w:val="left"/>
            </w:pPr>
            <w:r>
              <w:t xml:space="preserve">$127.50</w:t>
            </w:r>
          </w:p>
        </w:tc>
      </w:tr>
      <w:tr>
        <w:tc>
          <w:tcPr/>
          <w:p>
            <w:pPr>
              <w:pStyle w:val="Compact"/>
              <w:jc w:val="left"/>
            </w:pPr>
            <w:r>
              <w:t xml:space="preserve">10</w:t>
            </w:r>
          </w:p>
        </w:tc>
        <w:tc>
          <w:tcPr/>
          <w:p>
            <w:pPr>
              <w:pStyle w:val="Compact"/>
              <w:jc w:val="left"/>
            </w:pPr>
            <w:r>
              <w:t xml:space="preserve">Travel, accommodation &amp; per diem for Judge (if applicable)</w:t>
            </w:r>
          </w:p>
        </w:tc>
        <w:tc>
          <w:tcPr/>
          <w:p>
            <w:pPr>
              <w:pStyle w:val="Compact"/>
              <w:jc w:val="left"/>
            </w:pPr>
            <w:r>
              <w:t xml:space="preserve">Flat</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$75.00</w:t>
            </w:r>
          </w:p>
        </w:tc>
      </w:tr>
      <w:tr>
        <w:tc>
          <w:tcPr>
            <w:gridSpan w:val="4"/>
          </w:tcPr>
          <w:p>
            <w:pPr>
              <w:pStyle w:val="Compact"/>
              <w:jc w:val="left"/>
            </w:pPr>
            <w:r>
              <w:t xml:space="preserve">SUBTOTAL (before GST)</w:t>
            </w:r>
          </w:p>
        </w:tc>
        <w:tc>
          <w:tcPr/>
          <w:p>
            <w:pPr>
              <w:pStyle w:val="Compact"/>
              <w:jc w:val="left"/>
            </w:pPr>
            <w:r>
              <w:t xml:space="preserve">$54,450.00</w:t>
            </w:r>
          </w:p>
        </w:tc>
        <w:tc>
          <w:tcPr/>
          <w:p>
            <w:pPr>
              <w:pStyle w:val="Compact"/>
              <w:jc w:val="left"/>
            </w:pPr>
            <w:r>
              <w:t xml:space="preserve">$2,722.50</w:t>
            </w:r>
          </w:p>
        </w:tc>
      </w:tr>
      <w:tr>
        <w:tc>
          <w:tcPr>
            <w:gridSpan w:val="4"/>
          </w:tcPr>
          <w:p>
            <w:pPr>
              <w:pStyle w:val="Compact"/>
              <w:jc w:val="left"/>
            </w:pPr>
            <w:r>
              <w:rPr>
                <w:bCs/>
                <w:b/>
              </w:rPr>
              <w:t xml:space="preserve">TOTAL ESTIMATED COST (including 5% GST)</w:t>
            </w:r>
          </w:p>
        </w:tc>
        <w:tc>
          <w:tcPr>
            <w:gridSpan w:val="2"/>
          </w:tcPr>
          <w:p>
            <w:pPr>
              <w:pStyle w:val="Compact"/>
              <w:jc w:val="left"/>
            </w:pPr>
            <w:r>
              <w:rPr>
                <w:bCs/>
                <w:b/>
              </w:rPr>
              <w:t xml:space="preserve">$57,172.50 CAD</w:t>
            </w:r>
          </w:p>
        </w:tc>
      </w:tr>
    </w:tbl>
    <w:bookmarkEnd w:id="24"/>
    <w:bookmarkStart w:id="25" w:name="payment-terms"/>
    <w:p>
      <w:pPr>
        <w:pStyle w:val="Heading2"/>
      </w:pPr>
      <w:r>
        <w:t xml:space="preserve">4. Payment Terms</w:t>
      </w:r>
    </w:p>
    <w:p>
      <w:pPr>
        <w:pStyle w:val="FirstParagraph"/>
      </w:pPr>
      <w:r>
        <w:t xml:space="preserve">Payment for the services outlined in this Quotation Estimate shall be made as follows: a non-refundable retainer of twenty-five percent (25%) of the total estimated amount, equivalent to $14,293.13 CAD, is due upon execution of the engagement agreement. The remaining balance shall be invoiced in two equal installments: the first upon completion of the main arbitration hearing, and the second upon delivery of the final arbitral award. All payments are to be made in Canadian Dollars (CAD) via electronic funds transfer (EFT) to the account of Justice Services Group Inc., Bank of Montreal, Montreal, QC, Canada. Late payments shall accrue interest at the rate of 1.5% per month as permitted under the</w:t>
      </w:r>
      <w:r>
        <w:t xml:space="preserve"> </w:t>
      </w:r>
      <w:r>
        <w:rPr>
          <w:iCs/>
          <w:i/>
        </w:rPr>
        <w:t xml:space="preserve">Code civil du Québec</w:t>
      </w:r>
      <w:r>
        <w:t xml:space="preserve">.</w:t>
      </w:r>
    </w:p>
    <w:bookmarkEnd w:id="25"/>
    <w:bookmarkStart w:id="26" w:name="terms-and-conditions"/>
    <w:p>
      <w:pPr>
        <w:pStyle w:val="Heading2"/>
      </w:pPr>
      <w:r>
        <w:t xml:space="preserve">5. Terms and Conditions</w:t>
      </w:r>
    </w:p>
    <w:p>
      <w:pPr>
        <w:numPr>
          <w:ilvl w:val="0"/>
          <w:numId w:val="1002"/>
        </w:numPr>
        <w:pStyle w:val="Compact"/>
      </w:pPr>
      <w:r>
        <w:t xml:space="preserve">This Quotation Estimate is valid for a period of thirty (30) calendar days from the date of issue. Beyond this period, all rates and availability of the Judge are subject to reconfirmation.</w:t>
      </w:r>
    </w:p>
    <w:p>
      <w:pPr>
        <w:numPr>
          <w:ilvl w:val="0"/>
          <w:numId w:val="1002"/>
        </w:numPr>
        <w:pStyle w:val="Compact"/>
      </w:pPr>
      <w:r>
        <w:t xml:space="preserve">The Judge's engagement is contingent upon the execution of a formal Arbitration Agreement and a separate Judicial Services Contract between the Client and Justice Services Group Inc.</w:t>
      </w:r>
    </w:p>
    <w:p>
      <w:pPr>
        <w:numPr>
          <w:ilvl w:val="0"/>
          <w:numId w:val="1002"/>
        </w:numPr>
        <w:pStyle w:val="Compact"/>
      </w:pPr>
      <w:r>
        <w:t xml:space="preserve">All proceedings shall be conducted in accordance with the laws of the Province of Québec and the federal laws of Canada applicable in Montreal. The Judge shall apply the rules of evidence and procedure as agreed upon by the parties or as prescribed by the</w:t>
      </w:r>
      <w:r>
        <w:t xml:space="preserve"> </w:t>
      </w:r>
      <w:r>
        <w:rPr>
          <w:iCs/>
          <w:i/>
        </w:rPr>
        <w:t xml:space="preserve">Loi sur l'arbitrage commercial</w:t>
      </w:r>
      <w:r>
        <w:t xml:space="preserve">.</w:t>
      </w:r>
    </w:p>
    <w:p>
      <w:pPr>
        <w:numPr>
          <w:ilvl w:val="0"/>
          <w:numId w:val="1002"/>
        </w:numPr>
        <w:pStyle w:val="Compact"/>
      </w:pPr>
      <w:r>
        <w:t xml:space="preserve">The Judge shall maintain strict confidentiality regarding all matters, documents, and deliberations pertaining to the arbitration. This obligation of confidentiality survives the conclusion of the proceeding for a period of five (5) years.</w:t>
      </w:r>
    </w:p>
    <w:p>
      <w:pPr>
        <w:numPr>
          <w:ilvl w:val="0"/>
          <w:numId w:val="1002"/>
        </w:numPr>
        <w:pStyle w:val="Compact"/>
      </w:pPr>
      <w:r>
        <w:t xml:space="preserve">Any additional hours, services, or extensions beyond the scope described in this Quotation Estimate shall be subject to a written amendment and prior written approval from the Client.</w:t>
      </w:r>
    </w:p>
    <w:p>
      <w:pPr>
        <w:numPr>
          <w:ilvl w:val="0"/>
          <w:numId w:val="1002"/>
        </w:numPr>
        <w:pStyle w:val="Compact"/>
      </w:pPr>
      <w:r>
        <w:t xml:space="preserve">This Quotation Estimate does not constitute a binding contract until both parties have signed and returned the engagement agreement. It is solely an estimate of costs and does not guarantee the final amount, which may vary based on the complexity and duration of the proceeding.</w:t>
      </w:r>
    </w:p>
    <w:p>
      <w:pPr>
        <w:numPr>
          <w:ilvl w:val="0"/>
          <w:numId w:val="1002"/>
        </w:numPr>
        <w:pStyle w:val="Compact"/>
      </w:pPr>
      <w:r>
        <w:t xml:space="preserve">Governing law for this Quotation Estimate and any resulting contract shall be the laws of the Province of Québec and the federal laws of Canada. Any disputes arising from this estimate shall be resolved by the courts of competent jurisdiction in Montreal, Canada.</w:t>
      </w:r>
    </w:p>
    <w:p>
      <w:pPr>
        <w:numPr>
          <w:ilvl w:val="0"/>
          <w:numId w:val="1002"/>
        </w:numPr>
        <w:pStyle w:val="Compact"/>
      </w:pPr>
      <w:r>
        <w:t xml:space="preserve">The Judge reserves the right to recuse himself or herself in the event of a conflict of interest that arises after the initial engagement. In such a case, a replacement Judge of equivalent seniority and expertise shall be proposed at no additional cost to the Client.</w:t>
      </w:r>
    </w:p>
    <w:bookmarkEnd w:id="26"/>
    <w:bookmarkStart w:id="27" w:name="acceptance-and-authorization"/>
    <w:p>
      <w:pPr>
        <w:pStyle w:val="Heading2"/>
      </w:pPr>
      <w:r>
        <w:t xml:space="preserve">6. Acceptance and Authorization</w:t>
      </w:r>
    </w:p>
    <w:p>
      <w:pPr>
        <w:pStyle w:val="FirstParagraph"/>
      </w:pPr>
      <w:r>
        <w:t xml:space="preserve">By signing below, the Client acknowledges receipt of this Quotation Estimate and agrees to the terms, conditions, and estimated costs set forth herein for the engagement of the Judge in the arbitration proceeding to be conducted in Montreal, Canada. This signature does not constitute a final contract but serves as authorization to proceed with the preparation of the formal engagement documents.</w:t>
      </w:r>
    </w:p>
    <w:p>
      <w:pPr>
        <w:pStyle w:val="BodyText"/>
      </w:pPr>
      <w:r>
        <w:rPr>
          <w:bCs/>
          <w:b/>
        </w:rPr>
        <w:t xml:space="preserve">For Justice Services Group Inc. (Provider)</w:t>
      </w:r>
      <w:r>
        <w:br/>
      </w:r>
      <w:r>
        <w:br/>
      </w:r>
      <w:r>
        <w:t xml:space="preserve">Signature: ______________________________</w:t>
      </w:r>
      <w:r>
        <w:br/>
      </w:r>
      <w:r>
        <w:t xml:space="preserve">Name: Catherine Desrosiers, Managing Director</w:t>
      </w:r>
      <w:r>
        <w:br/>
      </w:r>
      <w:r>
        <w:t xml:space="preserve">Date: ______________________________</w:t>
      </w:r>
    </w:p>
    <w:p>
      <w:pPr>
        <w:pStyle w:val="BodyText"/>
      </w:pPr>
      <w:r>
        <w:rPr>
          <w:bCs/>
          <w:b/>
        </w:rPr>
        <w:t xml:space="preserve">For Montreal Commercial Arbitration Board (Client)</w:t>
      </w:r>
      <w:r>
        <w:br/>
      </w:r>
      <w:r>
        <w:br/>
      </w:r>
      <w:r>
        <w:t xml:space="preserve">Signature: ______________________________</w:t>
      </w:r>
      <w:r>
        <w:br/>
      </w:r>
      <w:r>
        <w:t xml:space="preserve">Name: Marc-André Tremblay, General Counsel</w:t>
      </w:r>
      <w:r>
        <w:br/>
      </w:r>
      <w:r>
        <w:t xml:space="preserve">Date: ______________________________</w:t>
      </w:r>
    </w:p>
    <w:p>
      <w:pPr>
        <w:pStyle w:val="BodyText"/>
      </w:pPr>
      <w:r>
        <w:t xml:space="preserve">Justice Services Group Inc. | 1200 Rue Sainte-Catherine Ouest, Suite 4500, Montreal, QC H3B 4W8, Canada</w:t>
      </w:r>
      <w:r>
        <w:br/>
      </w:r>
      <w:r>
        <w:t xml:space="preserve">Phone: +1 (514) 555-0192 | Email: quotations@justiceservicesgroup.ca | QST No.: 123456789QST0001</w:t>
      </w:r>
      <w:r>
        <w:br/>
      </w:r>
      <w:r>
        <w:t xml:space="preserve">This Quotation Estimate was prepared in Montreal, Canada and is governed by the laws of the Province of Québec and the federal laws of Canada.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Judge Services - Canada Montreal</dc:title>
  <dc:creator/>
  <dc:language>en</dc:language>
  <cp:keywords/>
  <dcterms:created xsi:type="dcterms:W3CDTF">2026-10-10T02:34:41Z</dcterms:created>
  <dcterms:modified xsi:type="dcterms:W3CDTF">2026-10-10T02:34:41Z</dcterms:modified>
</cp:coreProperties>
</file>

<file path=docProps/custom.xml><?xml version="1.0" encoding="utf-8"?>
<Properties xmlns="http://schemas.openxmlformats.org/officeDocument/2006/custom-properties" xmlns:vt="http://schemas.openxmlformats.org/officeDocument/2006/docPropsVTypes"/>
</file>