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Toronto,</w:t>
      </w:r>
      <w:r>
        <w:t xml:space="preserve"> </w:t>
      </w:r>
      <w:r>
        <w:t xml:space="preserve">Canada</w:t>
      </w:r>
    </w:p>
    <w:bookmarkStart w:id="20" w:name="quotation-estimate"/>
    <w:p>
      <w:pPr>
        <w:pStyle w:val="Heading1"/>
      </w:pPr>
      <w:r>
        <w:t xml:space="preserve">Quotation Estimate</w:t>
      </w:r>
    </w:p>
    <w:p>
      <w:pPr>
        <w:pStyle w:val="FirstParagraph"/>
      </w:pPr>
      <w:r>
        <w:t xml:space="preserve">Professional Judge Services — Toronto, Canada</w:t>
      </w:r>
    </w:p>
    <w:p>
      <w:pPr>
        <w:pStyle w:val="BodyText"/>
      </w:pPr>
      <w:r>
        <w:t xml:space="preserve">Meridian Event Professionals Inc.</w:t>
      </w:r>
      <w:r>
        <w:br/>
      </w:r>
      <w:r>
        <w:t xml:space="preserve">2200 Yonge Street, Suite 1450, Toronto, Ontario, Canada M4P 1E4</w:t>
      </w:r>
      <w:r>
        <w:br/>
      </w:r>
      <w:r>
        <w:t xml:space="preserve">Tel: +1 (416) 555-0192  |  Email: quotations@meridianevents.ca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ME-2025-0743</w:t>
            </w:r>
          </w:p>
        </w:tc>
        <w:tc>
          <w:tcPr/>
          <w:p>
            <w:pPr>
              <w:pStyle w:val="Compact"/>
              <w:jc w:val="left"/>
            </w:pPr>
            <w:r>
              <w:t xml:space="preserve">Date Issued:</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w:t>
            </w:r>
          </w:p>
        </w:tc>
        <w:tc>
          <w:tcPr/>
          <w:p>
            <w:pPr>
              <w:pStyle w:val="Compact"/>
              <w:jc w:val="left"/>
            </w:pPr>
            <w:r>
              <w:t xml:space="preserve">Currency:</w:t>
            </w:r>
          </w:p>
        </w:tc>
        <w:tc>
          <w:tcPr/>
          <w:p>
            <w:pPr>
              <w:pStyle w:val="Compact"/>
              <w:jc w:val="left"/>
            </w:pPr>
            <w:r>
              <w:t xml:space="preserve">Canadian Dollars (CAD)</w:t>
            </w:r>
          </w:p>
        </w:tc>
      </w:tr>
      <w:tr>
        <w:tc>
          <w:tcPr/>
          <w:p>
            <w:pPr>
              <w:pStyle w:val="Compact"/>
              <w:jc w:val="left"/>
            </w:pPr>
            <w:r>
              <w:t xml:space="preserve">Prepared For:</w:t>
            </w:r>
          </w:p>
        </w:tc>
        <w:tc>
          <w:tcPr/>
          <w:p>
            <w:pPr>
              <w:pStyle w:val="Compact"/>
              <w:jc w:val="left"/>
            </w:pPr>
            <w:r>
              <w:t xml:space="preserve">Toronto International Culinary &amp; Arts Festival Committee</w:t>
            </w:r>
          </w:p>
        </w:tc>
        <w:tc>
          <w:tcPr/>
          <w:p>
            <w:pPr>
              <w:pStyle w:val="Compact"/>
              <w:jc w:val="left"/>
            </w:pPr>
            <w:r>
              <w:t xml:space="preserve">Contact:</w:t>
            </w:r>
          </w:p>
        </w:tc>
        <w:tc>
          <w:tcPr/>
          <w:p>
            <w:pPr>
              <w:pStyle w:val="Compact"/>
              <w:jc w:val="left"/>
            </w:pPr>
            <w:r>
              <w:t xml:space="preserve">Ms. Eleanor Whitfield, Event Director</w:t>
            </w:r>
          </w:p>
        </w:tc>
      </w:tr>
      <w:tr>
        <w:tc>
          <w:tcPr/>
          <w:p>
            <w:pPr>
              <w:pStyle w:val="Compact"/>
              <w:jc w:val="left"/>
            </w:pPr>
            <w:r>
              <w:t xml:space="preserve">Client Address:</w:t>
            </w:r>
          </w:p>
        </w:tc>
        <w:tc>
          <w:tcPr/>
          <w:p>
            <w:pPr>
              <w:pStyle w:val="Compact"/>
              <w:jc w:val="left"/>
            </w:pPr>
            <w:r>
              <w:t xml:space="preserve">450 King Street West, Toronto, Ontario, Canada M5V 1X9</w:t>
            </w:r>
          </w:p>
        </w:tc>
        <w:tc>
          <w:tcPr/>
          <w:p>
            <w:pPr>
              <w:pStyle w:val="Compact"/>
              <w:jc w:val="left"/>
            </w:pPr>
            <w:r>
              <w:t xml:space="preserve">Event Date:</w:t>
            </w:r>
          </w:p>
        </w:tc>
        <w:tc>
          <w:tcPr/>
          <w:p>
            <w:pPr>
              <w:pStyle w:val="Compact"/>
              <w:jc w:val="left"/>
            </w:pPr>
            <w:r>
              <w:t xml:space="preserve">September 18–20, 2025</w:t>
            </w:r>
          </w:p>
        </w:tc>
      </w:tr>
    </w:tbl>
    <w:bookmarkStart w:id="21" w:name="scope-of-services-judge-engagement"/>
    <w:p>
      <w:pPr>
        <w:pStyle w:val="Heading2"/>
      </w:pPr>
      <w:r>
        <w:t xml:space="preserve">1. Scope of Services — Judge Engagement</w:t>
      </w:r>
    </w:p>
    <w:p>
      <w:pPr>
        <w:pStyle w:val="FirstParagraph"/>
      </w:pPr>
      <w:r>
        <w:t xml:space="preserve">This Quotation Estimate is issued by Meridian Event Professionals Inc. to formally outline the fees, terms, and conditions associated with the engagement of qualified Judge professionals for the Toronto International Culinary &amp; Arts Festival, to be held in the City of Toronto, Ontario, Canada. The services described herein pertain exclusively to the recruitment, coordination, and on-site management of adjudication panels (collectively referred to as “Judge” personnel) for all competitive categories scheduled during the three-day event.</w:t>
      </w:r>
    </w:p>
    <w:p>
      <w:pPr>
        <w:pStyle w:val="BodyText"/>
      </w:pPr>
      <w:r>
        <w:t xml:space="preserve">Each Judge engaged under this Quotation Estimate shall be a certified and experienced adjudicator in their respective discipline, meeting the standards set forth by the Canadian Culinary Federation and the Ontario Arts Council. All Judge candidates will undergo a background verification process in compliance with the Personal Information Protection and Electronic Documents Act (PIPEDA) of Canada and the municipal bylaws of the City of Toronto.</w:t>
      </w:r>
    </w:p>
    <w:bookmarkEnd w:id="21"/>
    <w:bookmarkStart w:id="22"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Judge Service</w:t>
            </w:r>
          </w:p>
        </w:tc>
        <w:tc>
          <w:tcPr/>
          <w:p>
            <w:pPr>
              <w:pStyle w:val="Compact"/>
              <w:jc w:val="left"/>
            </w:pPr>
            <w:r>
              <w:t xml:space="preserve">Qty</w:t>
            </w:r>
          </w:p>
        </w:tc>
        <w:tc>
          <w:tcPr/>
          <w:p>
            <w:pPr>
              <w:pStyle w:val="Compact"/>
              <w:jc w:val="left"/>
            </w:pPr>
            <w:r>
              <w:t xml:space="preserve">Unit Rate (CAD)</w:t>
            </w:r>
          </w:p>
        </w:tc>
        <w:tc>
          <w:tcPr/>
          <w:p>
            <w:pPr>
              <w:pStyle w:val="Compact"/>
              <w:jc w:val="left"/>
            </w:pPr>
            <w:r>
              <w:t xml:space="preserve">Subtotal (CAD)</w:t>
            </w:r>
          </w:p>
        </w:tc>
      </w:tr>
      <w:tr>
        <w:tc>
          <w:tcPr/>
          <w:p>
            <w:pPr>
              <w:pStyle w:val="Compact"/>
              <w:jc w:val="left"/>
            </w:pPr>
            <w:r>
              <w:t xml:space="preserve">1</w:t>
            </w:r>
          </w:p>
        </w:tc>
        <w:tc>
          <w:tcPr/>
          <w:p>
            <w:pPr>
              <w:pStyle w:val="Compact"/>
              <w:jc w:val="left"/>
            </w:pPr>
            <w:r>
              <w:t xml:space="preserve">Lead Judge — Culinary Arts Division (3-day engagement, 8 hrs/day, including setup, deliberation, and award ceremony participation)</w:t>
            </w:r>
          </w:p>
        </w:tc>
        <w:tc>
          <w:tcPr/>
          <w:p>
            <w:pPr>
              <w:pStyle w:val="Compact"/>
              <w:jc w:val="left"/>
            </w:pPr>
            <w:r>
              <w:t xml:space="preserve">2</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2</w:t>
            </w:r>
          </w:p>
        </w:tc>
        <w:tc>
          <w:tcPr/>
          <w:p>
            <w:pPr>
              <w:pStyle w:val="Compact"/>
              <w:jc w:val="left"/>
            </w:pPr>
            <w:r>
              <w:t xml:space="preserve">Panel Judge — Pastry &amp; Dessert Category (3-day engagement, 6 hrs/day)</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3</w:t>
            </w:r>
          </w:p>
        </w:tc>
        <w:tc>
          <w:tcPr/>
          <w:p>
            <w:pPr>
              <w:pStyle w:val="Compact"/>
              <w:jc w:val="left"/>
            </w:pPr>
            <w:r>
              <w:t xml:space="preserve">Panel Judge — Visual Arts &amp; Plating Design (3-day engagement, 6 hrs/day)</w:t>
            </w:r>
          </w:p>
        </w:tc>
        <w:tc>
          <w:tcPr/>
          <w:p>
            <w:pPr>
              <w:pStyle w:val="Compact"/>
              <w:jc w:val="left"/>
            </w:pPr>
            <w:r>
              <w:t xml:space="preserve">3</w:t>
            </w:r>
          </w:p>
        </w:tc>
        <w:tc>
          <w:tcPr/>
          <w:p>
            <w:pPr>
              <w:pStyle w:val="Compact"/>
              <w:jc w:val="left"/>
            </w:pPr>
            <w:r>
              <w:t xml:space="preserve">$1,100.00</w:t>
            </w:r>
          </w:p>
        </w:tc>
        <w:tc>
          <w:tcPr/>
          <w:p>
            <w:pPr>
              <w:pStyle w:val="Compact"/>
              <w:jc w:val="left"/>
            </w:pPr>
            <w:r>
              <w:t xml:space="preserve">$3,300.00</w:t>
            </w:r>
          </w:p>
        </w:tc>
      </w:tr>
      <w:tr>
        <w:tc>
          <w:tcPr/>
          <w:p>
            <w:pPr>
              <w:pStyle w:val="Compact"/>
              <w:jc w:val="left"/>
            </w:pPr>
            <w:r>
              <w:t xml:space="preserve">4</w:t>
            </w:r>
          </w:p>
        </w:tc>
        <w:tc>
          <w:tcPr/>
          <w:p>
            <w:pPr>
              <w:pStyle w:val="Compact"/>
              <w:jc w:val="left"/>
            </w:pPr>
            <w:r>
              <w:t xml:space="preserve">Junior Judge / Assistant Adjudicator (3-day engagement, 5 hrs/day, supporting scoring and documentation)</w:t>
            </w:r>
          </w:p>
        </w:tc>
        <w:tc>
          <w:tcPr/>
          <w:p>
            <w:pPr>
              <w:pStyle w:val="Compact"/>
              <w:jc w:val="left"/>
            </w:pPr>
            <w:r>
              <w:t xml:space="preserve">6</w:t>
            </w:r>
          </w:p>
        </w:tc>
        <w:tc>
          <w:tcPr/>
          <w:p>
            <w:pPr>
              <w:pStyle w:val="Compact"/>
              <w:jc w:val="left"/>
            </w:pPr>
            <w:r>
              <w:t xml:space="preserve">$650.00</w:t>
            </w:r>
          </w:p>
        </w:tc>
        <w:tc>
          <w:tcPr/>
          <w:p>
            <w:pPr>
              <w:pStyle w:val="Compact"/>
              <w:jc w:val="left"/>
            </w:pPr>
            <w:r>
              <w:t xml:space="preserve">$3,900.00</w:t>
            </w:r>
          </w:p>
        </w:tc>
      </w:tr>
      <w:tr>
        <w:tc>
          <w:tcPr/>
          <w:p>
            <w:pPr>
              <w:pStyle w:val="Compact"/>
              <w:jc w:val="left"/>
            </w:pPr>
            <w:r>
              <w:t xml:space="preserve">5</w:t>
            </w:r>
          </w:p>
        </w:tc>
        <w:tc>
          <w:tcPr/>
          <w:p>
            <w:pPr>
              <w:pStyle w:val="Compact"/>
              <w:jc w:val="left"/>
            </w:pPr>
            <w:r>
              <w:t xml:space="preserve">Judge Coordination &amp; Scheduling Management (full event duration, on-site logistics, briefing sessions, and conflict resolution)</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6</w:t>
            </w:r>
          </w:p>
        </w:tc>
        <w:tc>
          <w:tcPr/>
          <w:p>
            <w:pPr>
              <w:pStyle w:val="Compact"/>
              <w:jc w:val="left"/>
            </w:pPr>
            <w:r>
              <w:t xml:space="preserve">Judge Credentialing, Badging &amp; Compliance Documentation (PIPEDA-compliant background checks, Ontario licensing verification)</w:t>
            </w:r>
          </w:p>
        </w:tc>
        <w:tc>
          <w:tcPr/>
          <w:p>
            <w:pPr>
              <w:pStyle w:val="Compact"/>
              <w:jc w:val="left"/>
            </w:pPr>
            <w:r>
              <w:t xml:space="preserve">16</w:t>
            </w:r>
          </w:p>
        </w:tc>
        <w:tc>
          <w:tcPr/>
          <w:p>
            <w:pPr>
              <w:pStyle w:val="Compact"/>
              <w:jc w:val="left"/>
            </w:pPr>
            <w:r>
              <w:t xml:space="preserve">$85.00</w:t>
            </w:r>
          </w:p>
        </w:tc>
        <w:tc>
          <w:tcPr/>
          <w:p>
            <w:pPr>
              <w:pStyle w:val="Compact"/>
              <w:jc w:val="left"/>
            </w:pPr>
            <w:r>
              <w:t xml:space="preserve">$1,360.00</w:t>
            </w:r>
          </w:p>
        </w:tc>
      </w:tr>
      <w:tr>
        <w:tc>
          <w:tcPr/>
          <w:p>
            <w:pPr>
              <w:pStyle w:val="Compact"/>
              <w:jc w:val="left"/>
            </w:pPr>
            <w:r>
              <w:t xml:space="preserve">7</w:t>
            </w:r>
          </w:p>
        </w:tc>
        <w:tc>
          <w:tcPr/>
          <w:p>
            <w:pPr>
              <w:pStyle w:val="Compact"/>
              <w:jc w:val="left"/>
            </w:pPr>
            <w:r>
              <w:t xml:space="preserve">Travel &amp; Accommodation Allowance for out-of-Toronto Judge personnel (per diem, lodging, and local transit within the Greater Toronto Area)</w:t>
            </w:r>
          </w:p>
        </w:tc>
        <w:tc>
          <w:tcPr/>
          <w:p>
            <w:pPr>
              <w:pStyle w:val="Compact"/>
              <w:jc w:val="left"/>
            </w:pPr>
            <w:r>
              <w:t xml:space="preserve">5</w:t>
            </w:r>
          </w:p>
        </w:tc>
        <w:tc>
          <w:tcPr/>
          <w:p>
            <w:pPr>
              <w:pStyle w:val="Compact"/>
              <w:jc w:val="left"/>
            </w:pPr>
            <w:r>
              <w:t xml:space="preserve">$420.00</w:t>
            </w:r>
          </w:p>
        </w:tc>
        <w:tc>
          <w:tcPr/>
          <w:p>
            <w:pPr>
              <w:pStyle w:val="Compact"/>
              <w:jc w:val="left"/>
            </w:pPr>
            <w:r>
              <w:t xml:space="preserve">$2,100.00</w:t>
            </w:r>
          </w:p>
        </w:tc>
      </w:tr>
      <w:tr>
        <w:tc>
          <w:tcPr/>
          <w:p>
            <w:pPr>
              <w:pStyle w:val="Compact"/>
              <w:jc w:val="left"/>
            </w:pPr>
            <w:r>
              <w:t xml:space="preserve">8</w:t>
            </w:r>
          </w:p>
        </w:tc>
        <w:tc>
          <w:tcPr/>
          <w:p>
            <w:pPr>
              <w:pStyle w:val="Compact"/>
              <w:jc w:val="left"/>
            </w:pPr>
            <w:r>
              <w:t xml:space="preserve">Contingency Reserve — Substitute Judge availability (24-hour standby for the full event period)</w:t>
            </w:r>
          </w:p>
        </w:tc>
        <w:tc>
          <w:tcPr/>
          <w:p>
            <w:pPr>
              <w:pStyle w:val="Compact"/>
              <w:jc w:val="left"/>
            </w:pPr>
            <w:r>
              <w:t xml:space="preserve">2</w:t>
            </w:r>
          </w:p>
        </w:tc>
        <w:tc>
          <w:tcPr/>
          <w:p>
            <w:pPr>
              <w:pStyle w:val="Compact"/>
              <w:jc w:val="left"/>
            </w:pPr>
            <w:r>
              <w:t xml:space="preserve">$950.00</w:t>
            </w:r>
          </w:p>
        </w:tc>
        <w:tc>
          <w:tcPr/>
          <w:p>
            <w:pPr>
              <w:pStyle w:val="Compact"/>
              <w:jc w:val="left"/>
            </w:pPr>
            <w:r>
              <w:t xml:space="preserve">$1,900.00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$23,460.00</w:t>
            </w:r>
          </w:p>
        </w:tc>
      </w:tr>
      <w:tr>
        <w:tc>
          <w:tcPr/>
          <w:p>
            <w:pPr>
              <w:pStyle w:val="Compact"/>
              <w:jc w:val="left"/>
            </w:pPr>
            <w:r>
              <w:t xml:space="preserve">HST (13% — Ontario, Canada)</w:t>
            </w:r>
          </w:p>
        </w:tc>
        <w:tc>
          <w:tcPr/>
          <w:p>
            <w:pPr>
              <w:pStyle w:val="Compact"/>
              <w:jc w:val="left"/>
            </w:pPr>
            <w:r>
              <w:t xml:space="preserve">$3,049.80</w:t>
            </w:r>
          </w:p>
        </w:tc>
      </w:tr>
      <w:tr>
        <w:tc>
          <w:tcPr/>
          <w:p>
            <w:pPr>
              <w:pStyle w:val="Compact"/>
              <w:jc w:val="left"/>
            </w:pPr>
            <w:r>
              <w:t xml:space="preserve">Administrative &amp; Processing Fee</w:t>
            </w:r>
          </w:p>
        </w:tc>
        <w:tc>
          <w:tcPr/>
          <w:p>
            <w:pPr>
              <w:pStyle w:val="Compact"/>
              <w:jc w:val="left"/>
            </w:pPr>
            <w:r>
              <w:t xml:space="preserve">$350.00</w:t>
            </w:r>
          </w:p>
        </w:tc>
      </w:tr>
      <w:tr>
        <w:tc>
          <w:tcPr/>
          <w:p>
            <w:pPr>
              <w:pStyle w:val="Compact"/>
              <w:jc w:val="left"/>
            </w:pPr>
            <w:r>
              <w:t xml:space="preserve">Total Quotation Estimate</w:t>
            </w:r>
          </w:p>
        </w:tc>
        <w:tc>
          <w:tcPr/>
          <w:p>
            <w:pPr>
              <w:pStyle w:val="Compact"/>
              <w:jc w:val="left"/>
            </w:pPr>
            <w:r>
              <w:t xml:space="preserve">$26,859.80</w:t>
            </w:r>
          </w:p>
        </w:tc>
      </w:tr>
    </w:tbl>
    <w:bookmarkEnd w:id="22"/>
    <w:bookmarkStart w:id="23" w:name="terms-and-conditions"/>
    <w:p>
      <w:pPr>
        <w:pStyle w:val="Heading2"/>
      </w:pPr>
      <w:r>
        <w:t xml:space="preserve">3. Terms and Conditions</w:t>
      </w:r>
    </w:p>
    <w:p>
      <w:pPr>
        <w:numPr>
          <w:ilvl w:val="0"/>
          <w:numId w:val="1001"/>
        </w:numPr>
        <w:pStyle w:val="Compact"/>
      </w:pPr>
      <w:r>
        <w:t xml:space="preserve">This Quotation Estimate is valid for thirty (30) calendar days from the date of issue. Upon expiry, all rates and availability of Judge personnel are subject to revision without prior notice.</w:t>
      </w:r>
    </w:p>
    <w:p>
      <w:pPr>
        <w:numPr>
          <w:ilvl w:val="0"/>
          <w:numId w:val="1001"/>
        </w:numPr>
        <w:pStyle w:val="Compact"/>
      </w:pPr>
      <w:r>
        <w:t xml:space="preserve">Payment terms: Fifty percent (50%) of the total Quotation Estimate amount is due upon acceptance of this document. The remaining fifty percent (50%) shall be invoiced within five (5) business days following the conclusion of the event in Toronto, Canada.</w:t>
      </w:r>
    </w:p>
    <w:p>
      <w:pPr>
        <w:numPr>
          <w:ilvl w:val="0"/>
          <w:numId w:val="1001"/>
        </w:numPr>
        <w:pStyle w:val="Compact"/>
      </w:pPr>
      <w:r>
        <w:t xml:space="preserve">All Judge personnel engaged under this Quotation Estimate shall be bound by a non-disclosure agreement (NDA) and a code of conduct aligned with the standards of the City of Toronto event licensing authority.</w:t>
      </w:r>
    </w:p>
    <w:p>
      <w:pPr>
        <w:numPr>
          <w:ilvl w:val="0"/>
          <w:numId w:val="1001"/>
        </w:numPr>
        <w:pStyle w:val="Compact"/>
      </w:pPr>
      <w:r>
        <w:t xml:space="preserve">Meridian Event Professionals Inc. reserves the right to substitute any individual Judge with a qualified equivalent of equal or superior standing, provided the client is notified no fewer than seventy-two (72) hours prior to the event commencement.</w:t>
      </w:r>
    </w:p>
    <w:p>
      <w:pPr>
        <w:numPr>
          <w:ilvl w:val="0"/>
          <w:numId w:val="1001"/>
        </w:numPr>
        <w:pStyle w:val="Compact"/>
      </w:pPr>
      <w:r>
        <w:t xml:space="preserve">This Quotation Estimate does not include costs for venue rental, catering for Judge personnel, or any third-party insurance beyond the standard professional liability coverage held by Meridian Event Professionals Inc. (Policy No. ME-INS-2025-0088, issued in the Province of Ontario, Canada).</w:t>
      </w:r>
    </w:p>
    <w:p>
      <w:pPr>
        <w:numPr>
          <w:ilvl w:val="0"/>
          <w:numId w:val="1001"/>
        </w:numPr>
        <w:pStyle w:val="Compact"/>
      </w:pPr>
      <w:r>
        <w:t xml:space="preserve">All disputes arising from this Quotation Estimate shall be governed by the laws of the Province of Ontario and the federal laws of Canada applicable therein. Jurisdiction for any legal proceedings shall lie exclusively with the courts of the City of Toronto.</w:t>
      </w:r>
    </w:p>
    <w:p>
      <w:pPr>
        <w:numPr>
          <w:ilvl w:val="0"/>
          <w:numId w:val="1001"/>
        </w:numPr>
        <w:pStyle w:val="Compact"/>
      </w:pPr>
      <w:r>
        <w:t xml:space="preserve">Any modifications to the scope of Judge services, additional days, or expanded panel requirements must be documented in a written addendum signed by both parties before execution.</w:t>
      </w:r>
    </w:p>
    <w:p>
      <w:pPr>
        <w:numPr>
          <w:ilvl w:val="0"/>
          <w:numId w:val="1001"/>
        </w:numPr>
        <w:pStyle w:val="Compact"/>
      </w:pPr>
      <w:r>
        <w:t xml:space="preserve">This Quotation Estimate is non-transferable and is issued solely for the named client and the specified event in Toronto, Canada.</w:t>
      </w:r>
    </w:p>
    <w:bookmarkEnd w:id="23"/>
    <w:bookmarkStart w:id="24" w:name="acceptance"/>
    <w:p>
      <w:pPr>
        <w:pStyle w:val="Heading2"/>
      </w:pPr>
      <w:r>
        <w:t xml:space="preserve">4. Acceptance</w:t>
      </w:r>
    </w:p>
    <w:p>
      <w:pPr>
        <w:pStyle w:val="FirstParagraph"/>
      </w:pPr>
      <w:r>
        <w:t xml:space="preserve">By signing below, the client acknowledges and accepts all terms, conditions, and pricing outlined in this Quotation Estimate for Judge services in Toronto, Canada. This signature constitutes a binding agreement between Meridian Event Professionals Inc. and the client for the scope of work described herein.</w:t>
      </w:r>
    </w:p>
    <w:p>
      <w:pPr>
        <w:pStyle w:val="BodyText"/>
      </w:pPr>
      <w:r>
        <w:rPr>
          <w:bCs/>
          <w:b/>
        </w:rPr>
        <w:t xml:space="preserve">For Meridian Event Professionals Inc.:</w:t>
      </w:r>
    </w:p>
    <w:p>
      <w:pPr>
        <w:pStyle w:val="BodyText"/>
      </w:pPr>
      <w:r>
        <w:t xml:space="preserve">David R. Thompson, Managing Director</w:t>
      </w:r>
      <w:r>
        <w:br/>
      </w:r>
      <w:r>
        <w:t xml:space="preserve">Date: ______________________</w:t>
      </w:r>
    </w:p>
    <w:p>
      <w:pPr>
        <w:pStyle w:val="BodyText"/>
      </w:pPr>
      <w:r>
        <w:rPr>
          <w:bCs/>
          <w:b/>
        </w:rPr>
        <w:t xml:space="preserve">For the Client (Toronto International Culinary &amp; Arts Festival):</w:t>
      </w:r>
    </w:p>
    <w:p>
      <w:pPr>
        <w:pStyle w:val="BodyText"/>
      </w:pPr>
      <w:r>
        <w:t xml:space="preserve">Eleanor Whitfield, Event Director</w:t>
      </w:r>
      <w:r>
        <w:br/>
      </w:r>
      <w:r>
        <w:t xml:space="preserve">Date: ______________________</w:t>
      </w:r>
    </w:p>
    <w:p>
      <w:pPr>
        <w:pStyle w:val="BodyText"/>
      </w:pPr>
      <w:r>
        <w:t xml:space="preserve">Meridian Event Professionals Inc. — A registered corporation in the Province of Ontario, Canada.</w:t>
      </w:r>
      <w:r>
        <w:br/>
      </w:r>
      <w:r>
        <w:t xml:space="preserve">Quotation Estimate No. ME-2025-0743  |  Judge Services — Toronto, Canada  |  Page 1 of 1</w:t>
      </w:r>
      <w:r>
        <w:br/>
      </w:r>
      <w:r>
        <w:t xml:space="preserve">This document is generated electronically and is valid without a physical signature.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Services - Toronto, Canada</dc:title>
  <dc:creator/>
  <dc:language>en</dc:language>
  <cp:keywords/>
  <dcterms:created xsi:type="dcterms:W3CDTF">2026-10-10T07:27:17Z</dcterms:created>
  <dcterms:modified xsi:type="dcterms:W3CDTF">2026-10-10T07:27:17Z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