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China</w:t>
      </w:r>
      <w:r>
        <w:t xml:space="preserve"> </w:t>
      </w:r>
      <w:r>
        <w:t xml:space="preserve">Guangzhou</w:t>
      </w:r>
    </w:p>
    <w:p>
      <w:pPr>
        <w:pStyle w:val="FirstParagraph"/>
      </w:pPr>
      <w:r>
        <w:rPr>
          <w:bCs/>
          <w:b/>
        </w:rPr>
        <w:t xml:space="preserve">Guangzhou Judicial &amp; Arbitration Services Co., Ltd.</w:t>
      </w:r>
    </w:p>
    <w:p>
      <w:pPr>
        <w:pStyle w:val="BodyText"/>
      </w:pPr>
      <w:r>
        <w:t xml:space="preserve">No. 88 Tianhe Road, Tianhe District, Guangzhou, Guangdong Province, China 510620</w:t>
      </w:r>
    </w:p>
    <w:p>
      <w:pPr>
        <w:pStyle w:val="BodyText"/>
      </w:pPr>
      <w:r>
        <w:t xml:space="preserve">Tel: +86-20-8888-6600 | Email: quotation@gz-judicial.cn</w:t>
      </w:r>
    </w:p>
    <w:p>
      <w:pPr>
        <w:pStyle w:val="BodyText"/>
      </w:pPr>
      <w:r>
        <w:t xml:space="preserve">Unified Social Credit Code: 91440101MA5CJ7XK2P</w:t>
      </w:r>
    </w:p>
    <w:bookmarkStart w:id="29" w:name="quotation-estimate"/>
    <w:p>
      <w:pPr>
        <w:pStyle w:val="Heading1"/>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GZ-JD-2025-00472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Validity Period:</w:t>
            </w:r>
          </w:p>
        </w:tc>
        <w:tc>
          <w:tcPr/>
          <w:p>
            <w:pPr>
              <w:pStyle w:val="Compact"/>
              <w:jc w:val="left"/>
            </w:pPr>
            <w:r>
              <w:t xml:space="preserve">30 calendar days from date of issue</w:t>
            </w:r>
          </w:p>
        </w:tc>
      </w:tr>
      <w:tr>
        <w:tc>
          <w:tcPr/>
          <w:p>
            <w:pPr>
              <w:pStyle w:val="Compact"/>
              <w:jc w:val="left"/>
            </w:pPr>
            <w:r>
              <w:t xml:space="preserve">Client Name:</w:t>
            </w:r>
          </w:p>
        </w:tc>
        <w:tc>
          <w:tcPr/>
          <w:p>
            <w:pPr>
              <w:pStyle w:val="Compact"/>
              <w:jc w:val="left"/>
            </w:pPr>
            <w:r>
              <w:t xml:space="preserve">Guangzhou International Trade &amp; Commerce Association</w:t>
            </w:r>
          </w:p>
        </w:tc>
      </w:tr>
      <w:tr>
        <w:tc>
          <w:tcPr/>
          <w:p>
            <w:pPr>
              <w:pStyle w:val="Compact"/>
              <w:jc w:val="left"/>
            </w:pPr>
            <w:r>
              <w:t xml:space="preserve">Client Address:</w:t>
            </w:r>
          </w:p>
        </w:tc>
        <w:tc>
          <w:tcPr/>
          <w:p>
            <w:pPr>
              <w:pStyle w:val="Compact"/>
              <w:jc w:val="left"/>
            </w:pPr>
            <w:r>
              <w:t xml:space="preserve">Building 3, Zhujiang New Town, Tianhe District, Guangzhou, China</w:t>
            </w:r>
          </w:p>
        </w:tc>
      </w:tr>
      <w:tr>
        <w:tc>
          <w:tcPr/>
          <w:p>
            <w:pPr>
              <w:pStyle w:val="Compact"/>
              <w:jc w:val="left"/>
            </w:pPr>
            <w:r>
              <w:t xml:space="preserve">Project Title:</w:t>
            </w:r>
          </w:p>
        </w:tc>
        <w:tc>
          <w:tcPr/>
          <w:p>
            <w:pPr>
              <w:pStyle w:val="Compact"/>
              <w:jc w:val="left"/>
            </w:pPr>
            <w:r>
              <w:t xml:space="preserve">Professional Judge Panel Services for the 2025 Guangzhou International Arbitration &amp; Mediation Conference</w:t>
            </w:r>
          </w:p>
        </w:tc>
      </w:tr>
      <w:tr>
        <w:tc>
          <w:tcPr/>
          <w:p>
            <w:pPr>
              <w:pStyle w:val="Compact"/>
              <w:jc w:val="left"/>
            </w:pPr>
            <w:r>
              <w:t xml:space="preserve">Service Location:</w:t>
            </w:r>
          </w:p>
        </w:tc>
        <w:tc>
          <w:tcPr/>
          <w:p>
            <w:pPr>
              <w:pStyle w:val="Compact"/>
              <w:jc w:val="left"/>
            </w:pPr>
            <w:r>
              <w:t xml:space="preserve">Guangzhou International Convention &amp; Exhibition Center, Pazhou, Haizhu District, Guangzhou, China</w:t>
            </w:r>
          </w:p>
        </w:tc>
      </w:tr>
      <w:tr>
        <w:tc>
          <w:tcPr/>
          <w:p>
            <w:pPr>
              <w:pStyle w:val="Compact"/>
              <w:jc w:val="left"/>
            </w:pPr>
            <w:r>
              <w:t xml:space="preserve">Service Period:</w:t>
            </w:r>
          </w:p>
        </w:tc>
        <w:tc>
          <w:tcPr/>
          <w:p>
            <w:pPr>
              <w:pStyle w:val="Compact"/>
              <w:jc w:val="left"/>
            </w:pPr>
            <w:r>
              <w:t xml:space="preserve">September 15, 2025 – September 22, 2025</w:t>
            </w:r>
          </w:p>
        </w:tc>
      </w:tr>
    </w:tbl>
    <w:bookmarkStart w:id="20" w:name="X0c7581080508d578c26b6d8dfd726c7e3ca5cc9"/>
    <w:p>
      <w:pPr>
        <w:pStyle w:val="Heading2"/>
      </w:pPr>
      <w:r>
        <w:t xml:space="preserve">1. Purpose and Scope of This Quotation Estimate</w:t>
      </w:r>
    </w:p>
    <w:p>
      <w:pPr>
        <w:pStyle w:val="FirstParagraph"/>
      </w:pPr>
      <w:r>
        <w:t xml:space="preserve">This Quotation Estimate is issued by Guangzhou Judicial &amp; Arbitration Services Co., Ltd. in response to the formal request submitted by the Guangzhou International Trade &amp; Commerce Association for the engagement of a qualified Judge panel to preside over, adjudicate, and provide authoritative rulings during the 2025 Guangzhou International Arbitration &amp; Mediation Conference. The scope of this Quotation Estimate encompasses all professional Judge services, administrative support, travel and accommodation arrangements within China Guangzhou, and ancillary deliverables required to ensure the full and proper execution of the adjudicatory proceedings.</w:t>
      </w:r>
    </w:p>
    <w:bookmarkEnd w:id="20"/>
    <w:bookmarkStart w:id="24" w:name="detailed-description-of-judge-services"/>
    <w:p>
      <w:pPr>
        <w:pStyle w:val="Heading2"/>
      </w:pPr>
      <w:r>
        <w:t xml:space="preserve">2. Detailed Description of Judge Services</w:t>
      </w:r>
    </w:p>
    <w:p>
      <w:pPr>
        <w:pStyle w:val="FirstParagraph"/>
      </w:pPr>
      <w:r>
        <w:t xml:space="preserve">The Judge services outlined in this Quotation Estimate include the following components, all to be delivered in and around China Guangzhou:</w:t>
      </w:r>
    </w:p>
    <w:bookmarkStart w:id="21" w:name="chief-judge-and-panel-composition"/>
    <w:p>
      <w:pPr>
        <w:pStyle w:val="Heading3"/>
      </w:pPr>
      <w:r>
        <w:t xml:space="preserve">2.1 Chief Judge and Panel Composition</w:t>
      </w:r>
    </w:p>
    <w:p>
      <w:pPr>
        <w:pStyle w:val="FirstParagraph"/>
      </w:pPr>
      <w:r>
        <w:t xml:space="preserve">One (1) Chief Judge with a minimum of fifteen (15) years of experience in international commercial arbitration, holding a valid practicing license issued by the Guangdong Provincial Judicial Administration. Additionally, four (4) Associate Judges will be appointed to form the full adjudicatory panel. All Judge members shall be fluent in Mandarin Chinese and English, and shall comply with the ethical standards set forth by the China International Economic and Trade Arbitration Commission (CIETAC).</w:t>
      </w:r>
    </w:p>
    <w:bookmarkEnd w:id="21"/>
    <w:bookmarkStart w:id="22" w:name="adjudicatory-proceedings"/>
    <w:p>
      <w:pPr>
        <w:pStyle w:val="Heading3"/>
      </w:pPr>
      <w:r>
        <w:t xml:space="preserve">2.2 Adjudicatory Proceedings</w:t>
      </w:r>
    </w:p>
    <w:p>
      <w:pPr>
        <w:pStyle w:val="FirstParagraph"/>
      </w:pPr>
      <w:r>
        <w:t xml:space="preserve">The Judge panel will preside over a minimum of twelve (12) formal arbitration hearings, three (3) mediation sessions, and two (2) emergency interim relief applications. Each Judge session will be conducted in the designated hearing rooms at the Guangzhou International Convention &amp; Exhibition Center. The Chief Judge shall issue final written rulings within five (5) business days following the conclusion of each hearing.</w:t>
      </w:r>
    </w:p>
    <w:bookmarkEnd w:id="22"/>
    <w:bookmarkStart w:id="23" w:name="advisory-and-consultation-services"/>
    <w:p>
      <w:pPr>
        <w:pStyle w:val="Heading3"/>
      </w:pPr>
      <w:r>
        <w:t xml:space="preserve">2.3 Advisory and Consultation Services</w:t>
      </w:r>
    </w:p>
    <w:p>
      <w:pPr>
        <w:pStyle w:val="FirstParagraph"/>
      </w:pPr>
      <w:r>
        <w:t xml:space="preserve">In addition to formal adjudication, the Judge panel shall provide up to twenty (20) hours of advisory consultation to the organizing committee of the conference. This includes pre-hearing case reviews, procedural guidance for parties, and post-ruling explanations. All advisory sessions will be conducted in China Guangzhou at the venue or at the client's designated office in Tianhe District.</w:t>
      </w:r>
    </w:p>
    <w:bookmarkEnd w:id="23"/>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Chief Judge – Daily Professional Fee (including preparation, hearings, and ruling drafting)</w:t>
            </w:r>
          </w:p>
        </w:tc>
        <w:tc>
          <w:tcPr/>
          <w:p>
            <w:pPr>
              <w:pStyle w:val="Compact"/>
              <w:jc w:val="left"/>
            </w:pPr>
            <w:r>
              <w:t xml:space="preserve">Day</w:t>
            </w:r>
          </w:p>
        </w:tc>
        <w:tc>
          <w:tcPr/>
          <w:p>
            <w:pPr>
              <w:pStyle w:val="Compact"/>
              <w:jc w:val="left"/>
            </w:pPr>
            <w:r>
              <w:t xml:space="preserve">8</w:t>
            </w:r>
          </w:p>
        </w:tc>
        <w:tc>
          <w:tcPr/>
          <w:p>
            <w:pPr>
              <w:pStyle w:val="Compact"/>
              <w:jc w:val="left"/>
            </w:pPr>
            <w:r>
              <w:t xml:space="preserve">18,000</w:t>
            </w:r>
          </w:p>
        </w:tc>
        <w:tc>
          <w:tcPr/>
          <w:p>
            <w:pPr>
              <w:pStyle w:val="Compact"/>
              <w:jc w:val="left"/>
            </w:pPr>
            <w:r>
              <w:t xml:space="preserve">144,000</w:t>
            </w:r>
          </w:p>
        </w:tc>
      </w:tr>
      <w:tr>
        <w:tc>
          <w:tcPr/>
          <w:p>
            <w:pPr>
              <w:pStyle w:val="Compact"/>
              <w:jc w:val="left"/>
            </w:pPr>
            <w:r>
              <w:t xml:space="preserve">02</w:t>
            </w:r>
          </w:p>
        </w:tc>
        <w:tc>
          <w:tcPr/>
          <w:p>
            <w:pPr>
              <w:pStyle w:val="Compact"/>
              <w:jc w:val="left"/>
            </w:pPr>
            <w:r>
              <w:t xml:space="preserve">Associate Judge – Daily Professional Fee (4 judges)</w:t>
            </w:r>
          </w:p>
        </w:tc>
        <w:tc>
          <w:tcPr/>
          <w:p>
            <w:pPr>
              <w:pStyle w:val="Compact"/>
              <w:jc w:val="left"/>
            </w:pPr>
            <w:r>
              <w:t xml:space="preserve">Day/Judge</w:t>
            </w:r>
          </w:p>
        </w:tc>
        <w:tc>
          <w:tcPr/>
          <w:p>
            <w:pPr>
              <w:pStyle w:val="Compact"/>
              <w:jc w:val="left"/>
            </w:pPr>
            <w:r>
              <w:t xml:space="preserve">32</w:t>
            </w:r>
          </w:p>
        </w:tc>
        <w:tc>
          <w:tcPr/>
          <w:p>
            <w:pPr>
              <w:pStyle w:val="Compact"/>
              <w:jc w:val="left"/>
            </w:pPr>
            <w:r>
              <w:t xml:space="preserve">12,000</w:t>
            </w:r>
          </w:p>
        </w:tc>
        <w:tc>
          <w:tcPr/>
          <w:p>
            <w:pPr>
              <w:pStyle w:val="Compact"/>
              <w:jc w:val="left"/>
            </w:pPr>
            <w:r>
              <w:t xml:space="preserve">384,000</w:t>
            </w:r>
          </w:p>
        </w:tc>
      </w:tr>
      <w:tr>
        <w:tc>
          <w:tcPr/>
          <w:p>
            <w:pPr>
              <w:pStyle w:val="Compact"/>
              <w:jc w:val="left"/>
            </w:pPr>
            <w:r>
              <w:t xml:space="preserve">03</w:t>
            </w:r>
          </w:p>
        </w:tc>
        <w:tc>
          <w:tcPr/>
          <w:p>
            <w:pPr>
              <w:pStyle w:val="Compact"/>
              <w:jc w:val="left"/>
            </w:pPr>
            <w:r>
              <w:t xml:space="preserve">Advisory Consultation Sessions (per hour, panel of 2 Judges)</w:t>
            </w:r>
          </w:p>
        </w:tc>
        <w:tc>
          <w:tcPr/>
          <w:p>
            <w:pPr>
              <w:pStyle w:val="Compact"/>
              <w:jc w:val="left"/>
            </w:pPr>
            <w:r>
              <w:t xml:space="preserve">Hour</w:t>
            </w:r>
          </w:p>
        </w:tc>
        <w:tc>
          <w:tcPr/>
          <w:p>
            <w:pPr>
              <w:pStyle w:val="Compact"/>
              <w:jc w:val="left"/>
            </w:pPr>
            <w:r>
              <w:t xml:space="preserve">20</w:t>
            </w:r>
          </w:p>
        </w:tc>
        <w:tc>
          <w:tcPr/>
          <w:p>
            <w:pPr>
              <w:pStyle w:val="Compact"/>
              <w:jc w:val="left"/>
            </w:pPr>
            <w:r>
              <w:t xml:space="preserve">6,500</w:t>
            </w:r>
          </w:p>
        </w:tc>
        <w:tc>
          <w:tcPr/>
          <w:p>
            <w:pPr>
              <w:pStyle w:val="Compact"/>
              <w:jc w:val="left"/>
            </w:pPr>
            <w:r>
              <w:t xml:space="preserve">130,000</w:t>
            </w:r>
          </w:p>
        </w:tc>
      </w:tr>
      <w:tr>
        <w:tc>
          <w:tcPr/>
          <w:p>
            <w:pPr>
              <w:pStyle w:val="Compact"/>
              <w:jc w:val="left"/>
            </w:pPr>
            <w:r>
              <w:t xml:space="preserve">04</w:t>
            </w:r>
          </w:p>
        </w:tc>
        <w:tc>
          <w:tcPr/>
          <w:p>
            <w:pPr>
              <w:pStyle w:val="Compact"/>
              <w:jc w:val="left"/>
            </w:pPr>
            <w:r>
              <w:t xml:space="preserve">Written Ruling Preparation and Legal Analysis Reports</w:t>
            </w:r>
          </w:p>
        </w:tc>
        <w:tc>
          <w:tcPr/>
          <w:p>
            <w:pPr>
              <w:pStyle w:val="Compact"/>
              <w:jc w:val="left"/>
            </w:pPr>
            <w:r>
              <w:t xml:space="preserve">Report</w:t>
            </w:r>
          </w:p>
        </w:tc>
        <w:tc>
          <w:tcPr/>
          <w:p>
            <w:pPr>
              <w:pStyle w:val="Compact"/>
              <w:jc w:val="left"/>
            </w:pPr>
            <w:r>
              <w:t xml:space="preserve">12</w:t>
            </w:r>
          </w:p>
        </w:tc>
        <w:tc>
          <w:tcPr/>
          <w:p>
            <w:pPr>
              <w:pStyle w:val="Compact"/>
              <w:jc w:val="left"/>
            </w:pPr>
            <w:r>
              <w:t xml:space="preserve">8,000</w:t>
            </w:r>
          </w:p>
        </w:tc>
        <w:tc>
          <w:tcPr/>
          <w:p>
            <w:pPr>
              <w:pStyle w:val="Compact"/>
              <w:jc w:val="left"/>
            </w:pPr>
            <w:r>
              <w:t xml:space="preserve">96,000</w:t>
            </w:r>
          </w:p>
        </w:tc>
      </w:tr>
      <w:tr>
        <w:tc>
          <w:tcPr/>
          <w:p>
            <w:pPr>
              <w:pStyle w:val="Compact"/>
              <w:jc w:val="left"/>
            </w:pPr>
            <w:r>
              <w:t xml:space="preserve">05</w:t>
            </w:r>
          </w:p>
        </w:tc>
        <w:tc>
          <w:tcPr/>
          <w:p>
            <w:pPr>
              <w:pStyle w:val="Compact"/>
              <w:jc w:val="left"/>
            </w:pPr>
            <w:r>
              <w:t xml:space="preserve">Travel and Accommodation for Judge Panel within China Guangzhou (hotels, local transport, meals)</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52,000</w:t>
            </w:r>
          </w:p>
        </w:tc>
        <w:tc>
          <w:tcPr/>
          <w:p>
            <w:pPr>
              <w:pStyle w:val="Compact"/>
              <w:jc w:val="left"/>
            </w:pPr>
            <w:r>
              <w:t xml:space="preserve">52,000</w:t>
            </w:r>
          </w:p>
        </w:tc>
      </w:tr>
      <w:tr>
        <w:tc>
          <w:tcPr/>
          <w:p>
            <w:pPr>
              <w:pStyle w:val="Compact"/>
              <w:jc w:val="left"/>
            </w:pPr>
            <w:r>
              <w:t xml:space="preserve">06</w:t>
            </w:r>
          </w:p>
        </w:tc>
        <w:tc>
          <w:tcPr/>
          <w:p>
            <w:pPr>
              <w:pStyle w:val="Compact"/>
              <w:jc w:val="left"/>
            </w:pPr>
            <w:r>
              <w:t xml:space="preserve">Simultaneous Interpretation Services (Mandarin-English) for Judge Proceedings</w:t>
            </w:r>
          </w:p>
        </w:tc>
        <w:tc>
          <w:tcPr/>
          <w:p>
            <w:pPr>
              <w:pStyle w:val="Compact"/>
              <w:jc w:val="left"/>
            </w:pPr>
            <w:r>
              <w:t xml:space="preserve">Day</w:t>
            </w:r>
          </w:p>
        </w:tc>
        <w:tc>
          <w:tcPr/>
          <w:p>
            <w:pPr>
              <w:pStyle w:val="Compact"/>
              <w:jc w:val="left"/>
            </w:pPr>
            <w:r>
              <w:t xml:space="preserve">8</w:t>
            </w:r>
          </w:p>
        </w:tc>
        <w:tc>
          <w:tcPr/>
          <w:p>
            <w:pPr>
              <w:pStyle w:val="Compact"/>
              <w:jc w:val="left"/>
            </w:pPr>
            <w:r>
              <w:t xml:space="preserve">9,500</w:t>
            </w:r>
          </w:p>
        </w:tc>
        <w:tc>
          <w:tcPr/>
          <w:p>
            <w:pPr>
              <w:pStyle w:val="Compact"/>
              <w:jc w:val="left"/>
            </w:pPr>
            <w:r>
              <w:t xml:space="preserve">76,000</w:t>
            </w:r>
          </w:p>
        </w:tc>
      </w:tr>
      <w:tr>
        <w:tc>
          <w:tcPr/>
          <w:p>
            <w:pPr>
              <w:pStyle w:val="Compact"/>
              <w:jc w:val="left"/>
            </w:pPr>
            <w:r>
              <w:t xml:space="preserve">07</w:t>
            </w:r>
          </w:p>
        </w:tc>
        <w:tc>
          <w:tcPr/>
          <w:p>
            <w:pPr>
              <w:pStyle w:val="Compact"/>
              <w:jc w:val="left"/>
            </w:pPr>
            <w:r>
              <w:t xml:space="preserve">Administrative Support – Case File Management, Scheduling, and Documentation</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08</w:t>
            </w:r>
          </w:p>
        </w:tc>
        <w:tc>
          <w:tcPr/>
          <w:p>
            <w:pPr>
              <w:pStyle w:val="Compact"/>
              <w:jc w:val="left"/>
            </w:pPr>
            <w:r>
              <w:t xml:space="preserve">Contingency and Miscellaneous (venue adjustments, extended sessions, courier of documents)</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gridSpan w:val="5"/>
          </w:tcPr>
          <w:p>
            <w:pPr>
              <w:pStyle w:val="Compact"/>
              <w:jc w:val="left"/>
            </w:pPr>
            <w:r>
              <w:t xml:space="preserve">Subtotal (CNY)</w:t>
            </w:r>
          </w:p>
        </w:tc>
        <w:tc>
          <w:tcPr/>
          <w:p>
            <w:pPr>
              <w:pStyle w:val="Compact"/>
              <w:jc w:val="left"/>
            </w:pPr>
            <w:r>
              <w:t xml:space="preserve">945,000</w:t>
            </w:r>
          </w:p>
        </w:tc>
      </w:tr>
      <w:tr>
        <w:tc>
          <w:tcPr>
            <w:gridSpan w:val="5"/>
          </w:tcPr>
          <w:p>
            <w:pPr>
              <w:pStyle w:val="Compact"/>
              <w:jc w:val="left"/>
            </w:pPr>
            <w:r>
              <w:t xml:space="preserve">VAT (6% – Professional Services, PRC Standard)</w:t>
            </w:r>
          </w:p>
        </w:tc>
        <w:tc>
          <w:tcPr/>
          <w:p>
            <w:pPr>
              <w:pStyle w:val="Compact"/>
              <w:jc w:val="left"/>
            </w:pPr>
            <w:r>
              <w:t xml:space="preserve">56,700</w:t>
            </w:r>
          </w:p>
        </w:tc>
      </w:tr>
      <w:tr>
        <w:tc>
          <w:tcPr>
            <w:gridSpan w:val="5"/>
          </w:tcPr>
          <w:p>
            <w:pPr>
              <w:pStyle w:val="Compact"/>
              <w:jc w:val="left"/>
            </w:pPr>
            <w:r>
              <w:t xml:space="preserve">TOTAL AMOUNT DUE (CNY)</w:t>
            </w:r>
          </w:p>
        </w:tc>
        <w:tc>
          <w:tcPr/>
          <w:p>
            <w:pPr>
              <w:pStyle w:val="Compact"/>
              <w:jc w:val="left"/>
            </w:pPr>
            <w:r>
              <w:t xml:space="preserve">1,001,700</w:t>
            </w:r>
          </w:p>
        </w:tc>
      </w:tr>
    </w:tbl>
    <w:bookmarkEnd w:id="25"/>
    <w:bookmarkStart w:id="26" w:name="payment-terms"/>
    <w:p>
      <w:pPr>
        <w:pStyle w:val="Heading2"/>
      </w:pPr>
      <w:r>
        <w:t xml:space="preserve">4. Payment Terms</w:t>
      </w:r>
    </w:p>
    <w:p>
      <w:pPr>
        <w:pStyle w:val="FirstParagraph"/>
      </w:pPr>
      <w:r>
        <w:t xml:space="preserve">Payment for the services described in this Quotation Estimate shall be made in Renminbi (CNY) via bank transfer to the account of Guangzhou Judicial &amp; Arbitration Services Co., Ltd. The payment schedule is as follows: a deposit of forty percent (40%) shall be paid within ten (10) business days of acceptance of this Quotation Estimate; a second installment of forty percent (40%) shall be paid upon commencement of the Judge proceedings on September 15, 2025; and the remaining twenty percent (20%) shall be settled within fifteen (15) business days following the final ruling and delivery of all written reports.</w:t>
      </w:r>
    </w:p>
    <w:bookmarkEnd w:id="26"/>
    <w:bookmarkStart w:id="27" w:name="terms-and-conditions"/>
    <w:p>
      <w:pPr>
        <w:pStyle w:val="Heading2"/>
      </w:pPr>
      <w:r>
        <w:t xml:space="preserve">5. Terms and Conditions</w:t>
      </w:r>
    </w:p>
    <w:p>
      <w:pPr>
        <w:pStyle w:val="FirstParagraph"/>
      </w:pPr>
      <w:r>
        <w:t xml:space="preserve">All Judge services rendered under this Quotation Estimate shall be governed by the laws of the People's Republic of China, specifically the Arbitration Law of the PRC and the Civil Procedure Law. The Judge panel shall maintain strict impartiality and confidentiality in accordance with the CIETAC Code of Ethics. Any dispute arising from this Quotation Estimate or the services herein shall be resolved through arbitration administered by the Guangzhou Arbitration Commission in China Guangzhou. The client acknowledges that the Judge's rulings, once issued, are final and binding on all parties to the arbitration proceedings.</w:t>
      </w:r>
    </w:p>
    <w:p>
      <w:pPr>
        <w:pStyle w:val="BodyText"/>
      </w:pPr>
      <w:r>
        <w:rPr>
          <w:bCs/>
          <w:b/>
        </w:rPr>
        <w:t xml:space="preserve">Note:</w:t>
      </w:r>
      <w:r>
        <w:t xml:space="preserve"> </w:t>
      </w:r>
      <w:r>
        <w:t xml:space="preserve">This Quotation Estimate is valid for thirty (30) days from the date of issue. Prices are quoted in Chinese Yuan (CNY) and are inclusive of all applicable local taxes in Guangzhou, Guangdong Province. Any changes to the scope of Judge services, the number of hearings, or the service location within China Guangzhou must be agreed upon in writing by both parties prior to implementation.</w:t>
      </w:r>
    </w:p>
    <w:bookmarkEnd w:id="27"/>
    <w:bookmarkStart w:id="28" w:name="acceptance-and-authorization"/>
    <w:p>
      <w:pPr>
        <w:pStyle w:val="Heading2"/>
      </w:pPr>
      <w:r>
        <w:t xml:space="preserve">6. Acceptance and Authorization</w:t>
      </w:r>
    </w:p>
    <w:p>
      <w:pPr>
        <w:pStyle w:val="FirstParagraph"/>
      </w:pPr>
      <w:r>
        <w:t xml:space="preserve">By signing below, the client confirms acceptance of this Quotation Estimate and authorizes Guangzhou Judicial &amp; Arbitration Services Co., Ltd. to proceed with the engagement of the Judge panel for the 2025 Guangzhou International Arbitration &amp; Mediation Conference.</w:t>
      </w:r>
    </w:p>
    <w:p>
      <w:pPr>
        <w:pStyle w:val="BodyText"/>
      </w:pPr>
      <w:r>
        <w:rPr>
          <w:bCs/>
          <w:b/>
        </w:rPr>
        <w:t xml:space="preserve">For and on behalf of the Client:</w:t>
      </w:r>
    </w:p>
    <w:p>
      <w:pPr>
        <w:pStyle w:val="BodyText"/>
      </w:pPr>
      <w:r>
        <w:t xml:space="preserve">Guangzhou International Trade &amp; Commerce Association</w:t>
      </w:r>
    </w:p>
    <w:p>
      <w:pPr>
        <w:pStyle w:val="BodyText"/>
      </w:pPr>
      <w:r>
        <w:t xml:space="preserve">Authorized Signatory / Date</w:t>
      </w:r>
    </w:p>
    <w:p>
      <w:pPr>
        <w:pStyle w:val="BodyText"/>
      </w:pPr>
      <w:r>
        <w:rPr>
          <w:bCs/>
          <w:b/>
        </w:rPr>
        <w:t xml:space="preserve">For and on behalf of the Provider:</w:t>
      </w:r>
    </w:p>
    <w:p>
      <w:pPr>
        <w:pStyle w:val="BodyText"/>
      </w:pPr>
      <w:r>
        <w:t xml:space="preserve">Guangzhou Judicial &amp; Arbitration Services Co., Ltd.</w:t>
      </w:r>
    </w:p>
    <w:p>
      <w:pPr>
        <w:pStyle w:val="BodyText"/>
      </w:pPr>
      <w:r>
        <w:t xml:space="preserve">Authorized Signatory / Date</w:t>
      </w:r>
    </w:p>
    <w:p>
      <w:pPr>
        <w:pStyle w:val="BodyText"/>
      </w:pPr>
      <w:r>
        <w:t xml:space="preserve">This Quotation Estimate (No. GZ-JD-2025-00472) is issued exclusively for the client named herein and may not be transferred or used for any other purpose. All Judge services are subject to the availability of qualified judicial professionals in China Guangzhou. For inquiries or amendments, please contact the Quotation Department at +86-20-8888-6600 or quotation@gz-judicial.cn. Document prepared in Guangzhou, Guangdong Province, People's Republic of China.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Judge Services - China Guangzhou</dc:title>
  <dc:creator/>
  <dc:language>en</dc:language>
  <cp:keywords/>
  <dcterms:created xsi:type="dcterms:W3CDTF">2026-10-10T01:20:30Z</dcterms:created>
  <dcterms:modified xsi:type="dcterms:W3CDTF">2026-10-10T01:20:30Z</dcterms:modified>
</cp:coreProperties>
</file>

<file path=docProps/custom.xml><?xml version="1.0" encoding="utf-8"?>
<Properties xmlns="http://schemas.openxmlformats.org/officeDocument/2006/custom-properties" xmlns:vt="http://schemas.openxmlformats.org/officeDocument/2006/docPropsVTypes"/>
</file>