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Judicial</w:t>
      </w:r>
      <w:r>
        <w:t xml:space="preserve"> </w:t>
      </w:r>
      <w:r>
        <w:t xml:space="preserve">Expert</w:t>
      </w:r>
      <w:r>
        <w:t xml:space="preserve"> </w:t>
      </w:r>
      <w:r>
        <w:t xml:space="preserve">Services</w:t>
      </w:r>
      <w:r>
        <w:t xml:space="preserve"> </w:t>
      </w:r>
      <w:r>
        <w:t xml:space="preserve">–</w:t>
      </w:r>
      <w:r>
        <w:t xml:space="preserve"> </w:t>
      </w:r>
      <w:r>
        <w:t xml:space="preserve">Berlin,</w:t>
      </w:r>
      <w:r>
        <w:t xml:space="preserve"> </w:t>
      </w:r>
      <w:r>
        <w:t xml:space="preserve">Germany</w:t>
      </w:r>
    </w:p>
    <w:bookmarkStart w:id="20" w:name="quotation-estimate"/>
    <w:p>
      <w:pPr>
        <w:pStyle w:val="Heading1"/>
      </w:pPr>
      <w:r>
        <w:t xml:space="preserve">QUOTATION ESTIMATE</w:t>
      </w:r>
    </w:p>
    <w:p>
      <w:pPr>
        <w:pStyle w:val="FirstParagraph"/>
      </w:pPr>
      <w:r>
        <w:t xml:space="preserve">Judicial Expert &amp; Court Advisory Services</w:t>
      </w:r>
    </w:p>
    <w:p>
      <w:pPr>
        <w:pStyle w:val="BodyText"/>
      </w:pPr>
      <w:r>
        <w:t xml:space="preserve">Berlin, Germany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QE-BER-2025-04782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calendar days)</w:t>
            </w:r>
          </w:p>
        </w:tc>
      </w:tr>
      <w:tr>
        <w:tc>
          <w:tcPr/>
          <w:p>
            <w:pPr>
              <w:pStyle w:val="Compact"/>
              <w:jc w:val="left"/>
            </w:pPr>
            <w:r>
              <w:t xml:space="preserve">Prepared By:</w:t>
            </w:r>
          </w:p>
        </w:tc>
        <w:tc>
          <w:tcPr/>
          <w:p>
            <w:pPr>
              <w:pStyle w:val="Compact"/>
              <w:jc w:val="left"/>
            </w:pPr>
            <w:r>
              <w:t xml:space="preserve">Dr. Heinrich Vogel, Senior Judicial Consultant – Vogel &amp; Partner Rechtsberatung GmbH, Friedrichstraße 183, 10117 Berlin, Germany</w:t>
            </w:r>
          </w:p>
        </w:tc>
      </w:tr>
      <w:tr>
        <w:tc>
          <w:tcPr/>
          <w:p>
            <w:pPr>
              <w:pStyle w:val="Compact"/>
              <w:jc w:val="left"/>
            </w:pPr>
            <w:r>
              <w:t xml:space="preserve">Prepared For:</w:t>
            </w:r>
          </w:p>
        </w:tc>
        <w:tc>
          <w:tcPr/>
          <w:p>
            <w:pPr>
              <w:pStyle w:val="Compact"/>
              <w:jc w:val="left"/>
            </w:pPr>
            <w:r>
              <w:t xml:space="preserve">Client Name / Organisation (to be confirmed upon acceptance)</w:t>
            </w:r>
          </w:p>
        </w:tc>
      </w:tr>
      <w:tr>
        <w:tc>
          <w:tcPr/>
          <w:p>
            <w:pPr>
              <w:pStyle w:val="Compact"/>
              <w:jc w:val="left"/>
            </w:pPr>
            <w:r>
              <w:t xml:space="preserve">Service Jurisdiction:</w:t>
            </w:r>
          </w:p>
        </w:tc>
        <w:tc>
          <w:tcPr/>
          <w:p>
            <w:pPr>
              <w:pStyle w:val="Compact"/>
              <w:jc w:val="left"/>
            </w:pPr>
            <w:r>
              <w:t xml:space="preserve">Germany – Berlin (Landgericht Berlin, Amtsgericht Berlin-Mitte, and associated appellate courts)</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Vogel &amp; Partner Rechtsberatung GmbH in response to a formal request for judicial expert services to be rendered within the jurisdiction of Berlin, Germany. The scope of work encompasses the engagement of a qualified Judge-level legal expert to provide advisory opinions, procedural guidance, and structured court-related consultancy for the client's ongoing and anticipated legal matters before the courts of Berlin. All services described herein are tailored to the procedural frameworks of the German civil and criminal justice system as applied in the state of Berlin (Land Berlin) and the federal courts with jurisdiction over the capital region.</w:t>
      </w:r>
    </w:p>
    <w:p>
      <w:pPr>
        <w:pStyle w:val="BodyText"/>
      </w:pPr>
      <w:r>
        <w:t xml:space="preserve">The term "Judge" in this Quotation Estimate refers to the senior judicial expert and former sitting magistrate whose professional credentials, courtroom experience, and deep familiarity with Berlin's court structures form the foundation of the advisory engagement. The expert will operate in a non-judicial, consultative capacity, providing the client with the strategic perspective of a seasoned Judge while remaining fully independent of any active bench assignment.</w:t>
      </w:r>
    </w:p>
    <w:bookmarkEnd w:id="21"/>
    <w:bookmarkStart w:id="22" w:name="detailed-description-of-services"/>
    <w:p>
      <w:pPr>
        <w:pStyle w:val="Heading2"/>
      </w:pPr>
      <w:r>
        <w:t xml:space="preserve">2. Detailed Description of Services</w:t>
      </w:r>
    </w:p>
    <w:p>
      <w:pPr>
        <w:pStyle w:val="FirstParagraph"/>
      </w:pPr>
      <w:r>
        <w:t xml:space="preserve">The following services constitute the full scope of this Quotation Estimate for judicial advisory work in Germany Berlin:</w:t>
      </w:r>
    </w:p>
    <w:p>
      <w:pPr>
        <w:numPr>
          <w:ilvl w:val="0"/>
          <w:numId w:val="1001"/>
        </w:numPr>
        <w:pStyle w:val="Compact"/>
      </w:pPr>
      <w:r>
        <w:rPr>
          <w:bCs/>
          <w:b/>
        </w:rPr>
        <w:t xml:space="preserve">Judicial Strategy Assessment:</w:t>
      </w:r>
      <w:r>
        <w:t xml:space="preserve"> </w:t>
      </w:r>
      <w:r>
        <w:t xml:space="preserve">A comprehensive review of the client's case file, including all filings, evidence bundles, and procedural history before the relevant Berlin court. The Judge-level expert will produce a written strategic memorandum outlining strengths, vulnerabilities, and recommended procedural pathways under German law (ZPO, StPO, or applicable administrative procedure codes).</w:t>
      </w:r>
    </w:p>
    <w:p>
      <w:pPr>
        <w:numPr>
          <w:ilvl w:val="0"/>
          <w:numId w:val="1001"/>
        </w:numPr>
        <w:pStyle w:val="Compact"/>
      </w:pPr>
      <w:r>
        <w:rPr>
          <w:bCs/>
          <w:b/>
        </w:rPr>
        <w:t xml:space="preserve">Courtroom Preparation and Mock Proceedings:</w:t>
      </w:r>
      <w:r>
        <w:t xml:space="preserve"> </w:t>
      </w:r>
      <w:r>
        <w:t xml:space="preserve">Two (2) full-day sessions in which the expert, acting in the role of a simulated Judge, will conduct a mock hearing in the client's Berlin office or at our Friedrichstraße premises. This includes cross-examination rehearsal, objection handling, and real-time feedback on advocacy technique as it would be perceived by a Berlin tribunal.</w:t>
      </w:r>
    </w:p>
    <w:p>
      <w:pPr>
        <w:numPr>
          <w:ilvl w:val="0"/>
          <w:numId w:val="1001"/>
        </w:numPr>
        <w:pStyle w:val="Compact"/>
      </w:pPr>
      <w:r>
        <w:rPr>
          <w:bCs/>
          <w:b/>
        </w:rPr>
        <w:t xml:space="preserve">Procedural Compliance Review:</w:t>
      </w:r>
      <w:r>
        <w:t xml:space="preserve"> </w:t>
      </w:r>
      <w:r>
        <w:t xml:space="preserve">A line-by-line audit of all documents prepared for submission to the Landgericht Berlin or Amtsgericht to ensure full compliance with German court formatting rules, filing deadlines, and the specific procedural expectations of the Berlin judiciary.</w:t>
      </w:r>
    </w:p>
    <w:p>
      <w:pPr>
        <w:numPr>
          <w:ilvl w:val="0"/>
          <w:numId w:val="1001"/>
        </w:numPr>
        <w:pStyle w:val="Compact"/>
      </w:pPr>
      <w:r>
        <w:rPr>
          <w:bCs/>
          <w:b/>
        </w:rPr>
        <w:t xml:space="preserve">Expert Judicial Opinion (Gutachten):</w:t>
      </w:r>
      <w:r>
        <w:t xml:space="preserve"> </w:t>
      </w:r>
      <w:r>
        <w:t xml:space="preserve">A formal written opinion of no fewer than 25 pages addressing the core legal questions in the matter, structured in the format expected by German courts, and suitable for submission as a supplementary expert document if the client's counsel deems it appropriate.</w:t>
      </w:r>
    </w:p>
    <w:p>
      <w:pPr>
        <w:numPr>
          <w:ilvl w:val="0"/>
          <w:numId w:val="1001"/>
        </w:numPr>
        <w:pStyle w:val="Compact"/>
      </w:pPr>
      <w:r>
        <w:rPr>
          <w:bCs/>
          <w:b/>
        </w:rPr>
        <w:t xml:space="preserve">Ongoing Advisory Retainer (3 months):</w:t>
      </w:r>
      <w:r>
        <w:t xml:space="preserve"> </w:t>
      </w:r>
      <w:r>
        <w:t xml:space="preserve">Availability for up to 12 hours per month of direct consultation (in person in Berlin or via secure video conference) to address emerging procedural questions, interpret recent Berlin court rulings, and advise on settlement posture.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Quantity</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Judicial Strategy Assessment &amp; Written Memorandum</w:t>
            </w:r>
          </w:p>
        </w:tc>
        <w:tc>
          <w:tcPr/>
          <w:p>
            <w:pPr>
              <w:pStyle w:val="Compact"/>
              <w:jc w:val="left"/>
            </w:pPr>
            <w:r>
              <w:t xml:space="preserve">Flat fee</w:t>
            </w:r>
          </w:p>
        </w:tc>
        <w:tc>
          <w:tcPr/>
          <w:p>
            <w:pPr>
              <w:pStyle w:val="Compact"/>
              <w:jc w:val="left"/>
            </w:pPr>
            <w:r>
              <w:t xml:space="preserve">4,800.00</w:t>
            </w:r>
          </w:p>
        </w:tc>
        <w:tc>
          <w:tcPr/>
          <w:p>
            <w:pPr>
              <w:pStyle w:val="Compact"/>
              <w:jc w:val="left"/>
            </w:pPr>
            <w:r>
              <w:t xml:space="preserve">1</w:t>
            </w:r>
          </w:p>
        </w:tc>
        <w:tc>
          <w:tcPr/>
          <w:p>
            <w:pPr>
              <w:pStyle w:val="Compact"/>
              <w:jc w:val="left"/>
            </w:pPr>
            <w:r>
              <w:t xml:space="preserve">4,800.00</w:t>
            </w:r>
          </w:p>
        </w:tc>
      </w:tr>
      <w:tr>
        <w:tc>
          <w:tcPr/>
          <w:p>
            <w:pPr>
              <w:pStyle w:val="Compact"/>
              <w:jc w:val="left"/>
            </w:pPr>
            <w:r>
              <w:t xml:space="preserve">02</w:t>
            </w:r>
          </w:p>
        </w:tc>
        <w:tc>
          <w:tcPr/>
          <w:p>
            <w:pPr>
              <w:pStyle w:val="Compact"/>
              <w:jc w:val="left"/>
            </w:pPr>
            <w:r>
              <w:t xml:space="preserve">Courtroom Preparation &amp; Mock Proceedings (full day)</w:t>
            </w:r>
          </w:p>
        </w:tc>
        <w:tc>
          <w:tcPr/>
          <w:p>
            <w:pPr>
              <w:pStyle w:val="Compact"/>
              <w:jc w:val="left"/>
            </w:pPr>
            <w:r>
              <w:t xml:space="preserve">Per day</w:t>
            </w:r>
          </w:p>
        </w:tc>
        <w:tc>
          <w:tcPr/>
          <w:p>
            <w:pPr>
              <w:pStyle w:val="Compact"/>
              <w:jc w:val="left"/>
            </w:pPr>
            <w:r>
              <w:t xml:space="preserve">3,200.00</w:t>
            </w:r>
          </w:p>
        </w:tc>
        <w:tc>
          <w:tcPr/>
          <w:p>
            <w:pPr>
              <w:pStyle w:val="Compact"/>
              <w:jc w:val="left"/>
            </w:pPr>
            <w:r>
              <w:t xml:space="preserve">2</w:t>
            </w:r>
          </w:p>
        </w:tc>
        <w:tc>
          <w:tcPr/>
          <w:p>
            <w:pPr>
              <w:pStyle w:val="Compact"/>
              <w:jc w:val="left"/>
            </w:pPr>
            <w:r>
              <w:t xml:space="preserve">6,400.00</w:t>
            </w:r>
          </w:p>
        </w:tc>
      </w:tr>
      <w:tr>
        <w:tc>
          <w:tcPr/>
          <w:p>
            <w:pPr>
              <w:pStyle w:val="Compact"/>
              <w:jc w:val="left"/>
            </w:pPr>
            <w:r>
              <w:t xml:space="preserve">03</w:t>
            </w:r>
          </w:p>
        </w:tc>
        <w:tc>
          <w:tcPr/>
          <w:p>
            <w:pPr>
              <w:pStyle w:val="Compact"/>
              <w:jc w:val="left"/>
            </w:pPr>
            <w:r>
              <w:t xml:space="preserve">Procedural Compliance Review (Berlin court filings)</w:t>
            </w:r>
          </w:p>
        </w:tc>
        <w:tc>
          <w:tcPr/>
          <w:p>
            <w:pPr>
              <w:pStyle w:val="Compact"/>
              <w:jc w:val="left"/>
            </w:pPr>
            <w:r>
              <w:t xml:space="preserve">Flat fee</w:t>
            </w:r>
          </w:p>
        </w:tc>
        <w:tc>
          <w:tcPr/>
          <w:p>
            <w:pPr>
              <w:pStyle w:val="Compact"/>
              <w:jc w:val="left"/>
            </w:pPr>
            <w:r>
              <w:t xml:space="preserve">2,600.00</w:t>
            </w:r>
          </w:p>
        </w:tc>
        <w:tc>
          <w:tcPr/>
          <w:p>
            <w:pPr>
              <w:pStyle w:val="Compact"/>
              <w:jc w:val="left"/>
            </w:pPr>
            <w:r>
              <w:t xml:space="preserve">1</w:t>
            </w:r>
          </w:p>
        </w:tc>
        <w:tc>
          <w:tcPr/>
          <w:p>
            <w:pPr>
              <w:pStyle w:val="Compact"/>
              <w:jc w:val="left"/>
            </w:pPr>
            <w:r>
              <w:t xml:space="preserve">2,600.00</w:t>
            </w:r>
          </w:p>
        </w:tc>
      </w:tr>
      <w:tr>
        <w:tc>
          <w:tcPr/>
          <w:p>
            <w:pPr>
              <w:pStyle w:val="Compact"/>
              <w:jc w:val="left"/>
            </w:pPr>
            <w:r>
              <w:t xml:space="preserve">04</w:t>
            </w:r>
          </w:p>
        </w:tc>
        <w:tc>
          <w:tcPr/>
          <w:p>
            <w:pPr>
              <w:pStyle w:val="Compact"/>
              <w:jc w:val="left"/>
            </w:pPr>
            <w:r>
              <w:t xml:space="preserve">Expert Judicial Opinion (Gutachten), min. 25 pages</w:t>
            </w:r>
          </w:p>
        </w:tc>
        <w:tc>
          <w:tcPr/>
          <w:p>
            <w:pPr>
              <w:pStyle w:val="Compact"/>
              <w:jc w:val="left"/>
            </w:pPr>
            <w:r>
              <w:t xml:space="preserve">Flat fee</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05</w:t>
            </w:r>
          </w:p>
        </w:tc>
        <w:tc>
          <w:tcPr/>
          <w:p>
            <w:pPr>
              <w:pStyle w:val="Compact"/>
              <w:jc w:val="left"/>
            </w:pPr>
            <w:r>
              <w:t xml:space="preserve">Ongoing Advisory Retainer – 12 hrs/month × 3 months</w:t>
            </w:r>
          </w:p>
        </w:tc>
        <w:tc>
          <w:tcPr/>
          <w:p>
            <w:pPr>
              <w:pStyle w:val="Compact"/>
              <w:jc w:val="left"/>
            </w:pPr>
            <w:r>
              <w:t xml:space="preserve">Per hour</w:t>
            </w:r>
          </w:p>
        </w:tc>
        <w:tc>
          <w:tcPr/>
          <w:p>
            <w:pPr>
              <w:pStyle w:val="Compact"/>
              <w:jc w:val="left"/>
            </w:pPr>
            <w:r>
              <w:t xml:space="preserve">280.00</w:t>
            </w:r>
          </w:p>
        </w:tc>
        <w:tc>
          <w:tcPr/>
          <w:p>
            <w:pPr>
              <w:pStyle w:val="Compact"/>
              <w:jc w:val="left"/>
            </w:pPr>
            <w:r>
              <w:t xml:space="preserve">36</w:t>
            </w:r>
          </w:p>
        </w:tc>
        <w:tc>
          <w:tcPr/>
          <w:p>
            <w:pPr>
              <w:pStyle w:val="Compact"/>
              <w:jc w:val="left"/>
            </w:pPr>
            <w:r>
              <w:t xml:space="preserve">10,080.00</w:t>
            </w:r>
          </w:p>
        </w:tc>
      </w:tr>
      <w:tr>
        <w:tc>
          <w:tcPr/>
          <w:p>
            <w:pPr>
              <w:pStyle w:val="Compact"/>
              <w:jc w:val="left"/>
            </w:pPr>
            <w:r>
              <w:t xml:space="preserve">06</w:t>
            </w:r>
          </w:p>
        </w:tc>
        <w:tc>
          <w:tcPr/>
          <w:p>
            <w:pPr>
              <w:pStyle w:val="Compact"/>
              <w:jc w:val="left"/>
            </w:pPr>
            <w:r>
              <w:t xml:space="preserve">Travel &amp; Local Transportation within Berlin (estimated)</w:t>
            </w:r>
          </w:p>
        </w:tc>
        <w:tc>
          <w:tcPr/>
          <w:p>
            <w:pPr>
              <w:pStyle w:val="Compact"/>
              <w:jc w:val="left"/>
            </w:pPr>
            <w:r>
              <w:t xml:space="preserve">Flat fee</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gridSpan w:val="5"/>
          </w:tcPr>
          <w:p>
            <w:pPr>
              <w:pStyle w:val="Compact"/>
              <w:jc w:val="left"/>
            </w:pPr>
            <w:r>
              <w:t xml:space="preserve">Subtotal (excl. VAT)</w:t>
            </w:r>
          </w:p>
        </w:tc>
        <w:tc>
          <w:tcPr/>
          <w:p>
            <w:pPr>
              <w:pStyle w:val="Compact"/>
              <w:jc w:val="left"/>
            </w:pPr>
            <w:r>
              <w:t xml:space="preserve">31,830.00</w:t>
            </w:r>
          </w:p>
        </w:tc>
      </w:tr>
      <w:tr>
        <w:tc>
          <w:tcPr>
            <w:gridSpan w:val="5"/>
          </w:tcPr>
          <w:p>
            <w:pPr>
              <w:pStyle w:val="Compact"/>
              <w:jc w:val="left"/>
            </w:pPr>
            <w:r>
              <w:t xml:space="preserve">VAT (Mehrwertsteuer) at 19% (Germany)</w:t>
            </w:r>
          </w:p>
        </w:tc>
        <w:tc>
          <w:tcPr/>
          <w:p>
            <w:pPr>
              <w:pStyle w:val="Compact"/>
              <w:jc w:val="left"/>
            </w:pPr>
            <w:r>
              <w:t xml:space="preserve">6,047.70</w:t>
            </w:r>
          </w:p>
        </w:tc>
      </w:tr>
      <w:tr>
        <w:tc>
          <w:tcPr>
            <w:gridSpan w:val="5"/>
          </w:tcPr>
          <w:p>
            <w:pPr>
              <w:pStyle w:val="Compact"/>
              <w:jc w:val="left"/>
            </w:pPr>
            <w:r>
              <w:t xml:space="preserve">TOTAL AMOUNT DUE (incl. VAT)</w:t>
            </w:r>
          </w:p>
        </w:tc>
        <w:tc>
          <w:tcPr/>
          <w:p>
            <w:pPr>
              <w:pStyle w:val="Compact"/>
              <w:jc w:val="left"/>
            </w:pPr>
            <w:r>
              <w:t xml:space="preserve">37,877.70</w:t>
            </w:r>
          </w:p>
        </w:tc>
      </w:tr>
    </w:tbl>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Upon expiry, all rates and availability must be reconfirmed in writing.</w:t>
      </w:r>
    </w:p>
    <w:p>
      <w:pPr>
        <w:numPr>
          <w:ilvl w:val="0"/>
          <w:numId w:val="1002"/>
        </w:numPr>
        <w:pStyle w:val="Compact"/>
      </w:pPr>
      <w:r>
        <w:t xml:space="preserve">Payment terms: 40% advance payment upon acceptance of this Quotation Estimate; 40% upon delivery of the Expert Judicial Opinion; 20% upon completion of the final advisory retainer month. All payments are due within fourteen (14) calendar days of invoice date, payable by SEPA bank transfer to the account of Vogel &amp; Partner Rechtsberatung GmbH, Berlin, Germany.</w:t>
      </w:r>
    </w:p>
    <w:p>
      <w:pPr>
        <w:numPr>
          <w:ilvl w:val="0"/>
          <w:numId w:val="1002"/>
        </w:numPr>
        <w:pStyle w:val="Compact"/>
      </w:pPr>
      <w:r>
        <w:t xml:space="preserve">All services are to be performed within the jurisdiction of Berlin, Germany, unless otherwise agreed in writing. The expert Judge-consultant shall comply with all professional confidentiality obligations under the German Lawyers' Act (Rechtsanwaltsordnung) and applicable data protection regulations (GDPR / DSGVO).</w:t>
      </w:r>
    </w:p>
    <w:p>
      <w:pPr>
        <w:numPr>
          <w:ilvl w:val="0"/>
          <w:numId w:val="1002"/>
        </w:numPr>
        <w:pStyle w:val="Compact"/>
      </w:pPr>
      <w:r>
        <w:t xml:space="preserve">The expert shall not act as a sitting Judge in any proceeding in which the client is a party. The engagement is strictly advisory and does not constitute representation before any court.</w:t>
      </w:r>
    </w:p>
    <w:p>
      <w:pPr>
        <w:numPr>
          <w:ilvl w:val="0"/>
          <w:numId w:val="1002"/>
        </w:numPr>
        <w:pStyle w:val="Compact"/>
      </w:pPr>
      <w:r>
        <w:t xml:space="preserve">Any additional services beyond the scope defined in Section 2 shall be subject to a supplementary Quotation Estimate issued prior to commencement.</w:t>
      </w:r>
    </w:p>
    <w:p>
      <w:pPr>
        <w:numPr>
          <w:ilvl w:val="0"/>
          <w:numId w:val="1002"/>
        </w:numPr>
        <w:pStyle w:val="Compact"/>
      </w:pPr>
      <w:r>
        <w:t xml:space="preserve">This Quotation Estimate is governed by the laws of the Federal Republic of Germany. Any disputes arising herefrom shall be subject to the exclusive jurisdiction of the competent courts in Berlin, Germany.</w:t>
      </w:r>
    </w:p>
    <w:p>
      <w:pPr>
        <w:numPr>
          <w:ilvl w:val="0"/>
          <w:numId w:val="1002"/>
        </w:numPr>
        <w:pStyle w:val="Compact"/>
      </w:pPr>
      <w:r>
        <w:t xml:space="preserve">Confidentiality: All case materials, drafts, and communications exchanged in connection with this engagement are strictly confidential and shall not be disclosed to any third party without the prior written consent of the client.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judicial expert services in Berlin, Germany, and authorizes Vogel &amp; Partner Rechtsberatung GmbH to proceed with the engagement as described herein. The signed Quotation Estimate shall constitute a binding service agreement between the parties.</w:t>
      </w:r>
    </w:p>
    <w:p>
      <w:pPr>
        <w:pStyle w:val="BodyText"/>
      </w:pPr>
      <w:r>
        <w:rPr>
          <w:bCs/>
          <w:b/>
        </w:rPr>
        <w:t xml:space="preserve">For and on behalf of the Client:</w:t>
      </w:r>
    </w:p>
    <w:p>
      <w:pPr>
        <w:pStyle w:val="BodyText"/>
      </w:pPr>
      <w:r>
        <w:t xml:space="preserve">Name / Title / Signature / Date</w:t>
      </w:r>
    </w:p>
    <w:p>
      <w:pPr>
        <w:pStyle w:val="BodyText"/>
      </w:pPr>
      <w:r>
        <w:rPr>
          <w:bCs/>
          <w:b/>
        </w:rPr>
        <w:t xml:space="preserve">For Vogel &amp; Partner Rechtsberatung GmbH, Berlin, Germany:</w:t>
      </w:r>
    </w:p>
    <w:p>
      <w:pPr>
        <w:pStyle w:val="BodyText"/>
      </w:pPr>
      <w:r>
        <w:t xml:space="preserve">Dr. Heinrich Vogel / Senior Judicial Consultant / Signature / Date</w:t>
      </w:r>
    </w:p>
    <w:p>
      <w:pPr>
        <w:pStyle w:val="BodyText"/>
      </w:pPr>
      <w:r>
        <w:t xml:space="preserve">Vogel &amp; Partner Rechtsberatung GmbH · Friedrichstraße 183 · 10117 Berlin · Germany</w:t>
      </w:r>
      <w:r>
        <w:br/>
      </w:r>
      <w:r>
        <w:t xml:space="preserve">USt-IdNr.: DE 312 456 789 · Registergericht: Amtsgericht Berlin-Charlottenburg, HRB 128 456</w:t>
      </w:r>
      <w:r>
        <w:br/>
      </w:r>
      <w:r>
        <w:t xml:space="preserve">This Quotation Estimate QE-BER-2025-04782 is issued exclusively for the named client and may not be transferred or used for any other purpose without written consent.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Judicial Expert Services – Berlin, Germany</dc:title>
  <dc:creator/>
  <dc:language>en</dc:language>
  <cp:keywords/>
  <dcterms:created xsi:type="dcterms:W3CDTF">2026-10-10T03:11:58Z</dcterms:created>
  <dcterms:modified xsi:type="dcterms:W3CDTF">2026-10-10T03:11:58Z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