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Platform</w:t>
      </w:r>
      <w:r>
        <w:t xml:space="preserve"> </w:t>
      </w:r>
      <w:r>
        <w:t xml:space="preserve">-</w:t>
      </w:r>
      <w:r>
        <w:t xml:space="preserve"> </w:t>
      </w:r>
      <w:r>
        <w:t xml:space="preserve">Germany</w:t>
      </w:r>
      <w:r>
        <w:t xml:space="preserve"> </w:t>
      </w:r>
      <w:r>
        <w:t xml:space="preserve">Frankfurt</w:t>
      </w:r>
    </w:p>
    <w:bookmarkStart w:id="20" w:name="quotation-estimate"/>
    <w:p>
      <w:pPr>
        <w:pStyle w:val="Heading1"/>
      </w:pPr>
      <w:r>
        <w:t xml:space="preserve">QUOTATION ESTIMATE</w:t>
      </w:r>
    </w:p>
    <w:p>
      <w:pPr>
        <w:pStyle w:val="FirstParagraph"/>
      </w:pPr>
      <w:r>
        <w:t xml:space="preserve">Judge — Integrated Judicial Case Management &amp; Proceedings Platform</w:t>
      </w:r>
    </w:p>
    <w:p>
      <w:pPr>
        <w:pStyle w:val="BodyText"/>
      </w:pPr>
      <w:r>
        <w:t xml:space="preserve">Prepared for Deployment in Germany Frankfurt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QTE-JDG-FRA-2025-0047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calendar days)</w:t>
            </w:r>
          </w:p>
        </w:tc>
      </w:tr>
      <w:tr>
        <w:tc>
          <w:tcPr/>
          <w:p>
            <w:pPr>
              <w:pStyle w:val="Compact"/>
              <w:jc w:val="left"/>
            </w:pPr>
            <w:r>
              <w:t xml:space="preserve">Prepared By</w:t>
            </w:r>
          </w:p>
        </w:tc>
        <w:tc>
          <w:tcPr/>
          <w:p>
            <w:pPr>
              <w:pStyle w:val="Compact"/>
              <w:jc w:val="left"/>
            </w:pPr>
            <w:r>
              <w:t xml:space="preserve">Meridian Judicial Systems GmbH — Frankfurt am Main, Germany</w:t>
            </w:r>
          </w:p>
        </w:tc>
      </w:tr>
      <w:tr>
        <w:tc>
          <w:tcPr/>
          <w:p>
            <w:pPr>
              <w:pStyle w:val="Compact"/>
              <w:jc w:val="left"/>
            </w:pPr>
            <w:r>
              <w:t xml:space="preserve">Prepared For</w:t>
            </w:r>
          </w:p>
        </w:tc>
        <w:tc>
          <w:tcPr/>
          <w:p>
            <w:pPr>
              <w:pStyle w:val="Compact"/>
              <w:jc w:val="left"/>
            </w:pPr>
            <w:r>
              <w:t xml:space="preserve">Landgericht Frankfurt am Main — Judicial Administration Office</w:t>
            </w:r>
          </w:p>
        </w:tc>
      </w:tr>
      <w:tr>
        <w:tc>
          <w:tcPr/>
          <w:p>
            <w:pPr>
              <w:pStyle w:val="Compact"/>
              <w:jc w:val="left"/>
            </w:pPr>
            <w:r>
              <w:t xml:space="preserve">Project Location</w:t>
            </w:r>
          </w:p>
        </w:tc>
        <w:tc>
          <w:tcPr/>
          <w:p>
            <w:pPr>
              <w:pStyle w:val="Compact"/>
              <w:jc w:val="left"/>
            </w:pPr>
            <w:r>
              <w:t xml:space="preserve">Germany Frankfurt, Sachsenhausen District, 60594 Frankfurt am Main</w:t>
            </w:r>
          </w:p>
        </w:tc>
      </w:tr>
      <w:tr>
        <w:tc>
          <w:tcPr/>
          <w:p>
            <w:pPr>
              <w:pStyle w:val="Compact"/>
              <w:jc w:val="left"/>
            </w:pPr>
            <w:r>
              <w:t xml:space="preserve">Currency</w:t>
            </w:r>
          </w:p>
        </w:tc>
        <w:tc>
          <w:tcPr/>
          <w:p>
            <w:pPr>
              <w:pStyle w:val="Compact"/>
              <w:jc w:val="left"/>
            </w:pPr>
            <w:r>
              <w:t xml:space="preserve">Euro (EUR)</w:t>
            </w:r>
          </w:p>
        </w:tc>
      </w:tr>
    </w:tbl>
    <w:bookmarkStart w:id="21" w:name="executive-summary"/>
    <w:p>
      <w:pPr>
        <w:pStyle w:val="Heading2"/>
      </w:pPr>
      <w:r>
        <w:t xml:space="preserve">1. Executive Summary</w:t>
      </w:r>
    </w:p>
    <w:p>
      <w:pPr>
        <w:pStyle w:val="FirstParagraph"/>
      </w:pPr>
      <w:r>
        <w:t xml:space="preserve">This Quotation Estimate is issued by Meridian Judicial Systems GmbH in response to the formal request for proposal submitted by the Judicial Administration Office of the Landgericht Frankfurt am Main. The subject of this Quotation Estimate is the design, development, deployment, and ongoing maintenance of the</w:t>
      </w:r>
      <w:r>
        <w:t xml:space="preserve"> </w:t>
      </w:r>
      <w:r>
        <w:rPr>
          <w:bCs/>
          <w:b/>
        </w:rPr>
        <w:t xml:space="preserve">Judge</w:t>
      </w:r>
      <w:r>
        <w:t xml:space="preserve"> </w:t>
      </w:r>
      <w:r>
        <w:t xml:space="preserve">platform — a comprehensive, secure, and fully compliant judicial case management and proceedings orchestration system. The</w:t>
      </w:r>
      <w:r>
        <w:t xml:space="preserve"> </w:t>
      </w:r>
      <w:r>
        <w:rPr>
          <w:bCs/>
          <w:b/>
        </w:rPr>
        <w:t xml:space="preserve">Judge</w:t>
      </w:r>
      <w:r>
        <w:t xml:space="preserve"> </w:t>
      </w:r>
      <w:r>
        <w:t xml:space="preserve">system is specifically engineered to meet the operational requirements of courts operating within</w:t>
      </w:r>
      <w:r>
        <w:t xml:space="preserve"> </w:t>
      </w:r>
      <w:r>
        <w:rPr>
          <w:bCs/>
          <w:b/>
        </w:rPr>
        <w:t xml:space="preserve">Germany Frankfurt</w:t>
      </w:r>
      <w:r>
        <w:t xml:space="preserve">, adhering to all applicable German federal and state legal frameworks, including the German Code of Civil Procedure (ZPO), the Code of Criminal Procedure (StPO), and the EU General Data Protection Regulation (GDPR).</w:t>
      </w:r>
    </w:p>
    <w:p>
      <w:pPr>
        <w:pStyle w:val="BodyText"/>
      </w:pPr>
      <w:r>
        <w:t xml:space="preserve">The</w:t>
      </w:r>
      <w:r>
        <w:t xml:space="preserve"> </w:t>
      </w:r>
      <w:r>
        <w:rPr>
          <w:bCs/>
          <w:b/>
        </w:rPr>
        <w:t xml:space="preserve">Judge</w:t>
      </w:r>
      <w:r>
        <w:t xml:space="preserve"> </w:t>
      </w:r>
      <w:r>
        <w:t xml:space="preserve">platform will serve as the central digital backbone for all judicial proceedings handled at the Landgericht Frankfurt am Main and its associated chambers, enabling judges, court clerks, prosecutors, and legal representatives to manage cases end-to-end through a unified, encrypted, and auditable digital environment.</w:t>
      </w:r>
    </w:p>
    <w:bookmarkEnd w:id="21"/>
    <w:bookmarkStart w:id="22" w:name="scope-of-work-judge-platform"/>
    <w:p>
      <w:pPr>
        <w:pStyle w:val="Heading2"/>
      </w:pPr>
      <w:r>
        <w:t xml:space="preserve">2. Scope of Work — Judge Platform</w:t>
      </w:r>
    </w:p>
    <w:p>
      <w:pPr>
        <w:pStyle w:val="FirstParagraph"/>
      </w:pPr>
      <w:r>
        <w:t xml:space="preserve">The</w:t>
      </w:r>
      <w:r>
        <w:t xml:space="preserve"> </w:t>
      </w:r>
      <w:r>
        <w:rPr>
          <w:bCs/>
          <w:b/>
        </w:rPr>
        <w:t xml:space="preserve">Judge</w:t>
      </w:r>
      <w:r>
        <w:t xml:space="preserve"> </w:t>
      </w:r>
      <w:r>
        <w:t xml:space="preserve">system encompasses the following core modules and services, all tailored for operational use in</w:t>
      </w:r>
      <w:r>
        <w:t xml:space="preserve"> </w:t>
      </w:r>
      <w:r>
        <w:rPr>
          <w:bCs/>
          <w:b/>
        </w:rPr>
        <w:t xml:space="preserve">Germany Frankfurt</w:t>
      </w:r>
      <w:r>
        <w:t xml:space="preserve">:</w:t>
      </w:r>
    </w:p>
    <w:p>
      <w:pPr>
        <w:numPr>
          <w:ilvl w:val="0"/>
          <w:numId w:val="1001"/>
        </w:numPr>
        <w:pStyle w:val="Compact"/>
      </w:pPr>
      <w:r>
        <w:rPr>
          <w:bCs/>
          <w:b/>
        </w:rPr>
        <w:t xml:space="preserve">Judge Case Intake &amp; Docketing Module:</w:t>
      </w:r>
      <w:r>
        <w:t xml:space="preserve"> </w:t>
      </w:r>
      <w:r>
        <w:t xml:space="preserve">Automated receipt, classification, and assignment of new civil, criminal, and administrative cases. The module integrates with the existing German court registry (Gerichtsregister) and the Federal Court Network (Gerichtsnetz).</w:t>
      </w:r>
    </w:p>
    <w:p>
      <w:pPr>
        <w:numPr>
          <w:ilvl w:val="0"/>
          <w:numId w:val="1001"/>
        </w:numPr>
        <w:pStyle w:val="Compact"/>
      </w:pPr>
      <w:r>
        <w:rPr>
          <w:bCs/>
          <w:b/>
        </w:rPr>
        <w:t xml:space="preserve">Judge Scheduling &amp; Hearing Management:</w:t>
      </w:r>
      <w:r>
        <w:t xml:space="preserve"> </w:t>
      </w:r>
      <w:r>
        <w:t xml:space="preserve">Real-time calendar coordination for all judicial hearings, court sessions, and evidentiary proceedings. Includes automated notification to all parties via secure digital channels compliant with German electronic service law (eZugang).</w:t>
      </w:r>
    </w:p>
    <w:p>
      <w:pPr>
        <w:numPr>
          <w:ilvl w:val="0"/>
          <w:numId w:val="1001"/>
        </w:numPr>
        <w:pStyle w:val="Compact"/>
      </w:pPr>
      <w:r>
        <w:rPr>
          <w:bCs/>
          <w:b/>
        </w:rPr>
        <w:t xml:space="preserve">Judge Ruling &amp; Decision Authoring:</w:t>
      </w:r>
      <w:r>
        <w:t xml:space="preserve"> </w:t>
      </w:r>
      <w:r>
        <w:t xml:space="preserve">A structured drafting environment for judicial opinions, orders, and verdicts, with built-in citation referencing to German federal and state jurisprudence, including the Bundesgerichtshof (BGH) and the Hessisches Oberlandesgericht.</w:t>
      </w:r>
    </w:p>
    <w:p>
      <w:pPr>
        <w:numPr>
          <w:ilvl w:val="0"/>
          <w:numId w:val="1001"/>
        </w:numPr>
        <w:pStyle w:val="Compact"/>
      </w:pPr>
      <w:r>
        <w:rPr>
          <w:bCs/>
          <w:b/>
        </w:rPr>
        <w:t xml:space="preserve">Judge Evidence &amp; Document Repository:</w:t>
      </w:r>
      <w:r>
        <w:t xml:space="preserve"> </w:t>
      </w:r>
      <w:r>
        <w:t xml:space="preserve">Encrypted, tamper-evident digital storage for all case-related documents, exhibits, witness statements, and forensic reports. Full audit trail with cryptographic hashing to satisfy evidentiary standards under German law.</w:t>
      </w:r>
    </w:p>
    <w:p>
      <w:pPr>
        <w:numPr>
          <w:ilvl w:val="0"/>
          <w:numId w:val="1001"/>
        </w:numPr>
        <w:pStyle w:val="Compact"/>
      </w:pPr>
      <w:r>
        <w:rPr>
          <w:bCs/>
          <w:b/>
        </w:rPr>
        <w:t xml:space="preserve">Judge Inter-Court Collaboration Portal:</w:t>
      </w:r>
      <w:r>
        <w:t xml:space="preserve"> </w:t>
      </w:r>
      <w:r>
        <w:t xml:space="preserve">Secure communication and case-transfer functionality between the Landgericht Frankfurt am Main, the Oberlandesgericht Frankfurt am Main, and the Bundesgerichtshof in Karlsruhe.</w:t>
      </w:r>
    </w:p>
    <w:p>
      <w:pPr>
        <w:numPr>
          <w:ilvl w:val="0"/>
          <w:numId w:val="1001"/>
        </w:numPr>
        <w:pStyle w:val="Compact"/>
      </w:pPr>
      <w:r>
        <w:rPr>
          <w:bCs/>
          <w:b/>
        </w:rPr>
        <w:t xml:space="preserve">Judge Analytics &amp; Reporting Dashboard:</w:t>
      </w:r>
      <w:r>
        <w:t xml:space="preserve"> </w:t>
      </w:r>
      <w:r>
        <w:t xml:space="preserve">Administrative reporting tools for court management, including case throughput metrics, backlog analysis, and resource allocation forecasting specific to the</w:t>
      </w:r>
      <w:r>
        <w:t xml:space="preserve"> </w:t>
      </w:r>
      <w:r>
        <w:rPr>
          <w:bCs/>
          <w:b/>
        </w:rPr>
        <w:t xml:space="preserve">Germany Frankfurt</w:t>
      </w:r>
      <w:r>
        <w:t xml:space="preserve"> </w:t>
      </w:r>
      <w:r>
        <w:t xml:space="preserve">judicial district.</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Judge Platform — Core Software License (perpetual, all modules)</w:t>
            </w:r>
          </w:p>
        </w:tc>
        <w:tc>
          <w:tcPr/>
          <w:p>
            <w:pPr>
              <w:pStyle w:val="Compact"/>
              <w:jc w:val="left"/>
            </w:pPr>
            <w:r>
              <w:t xml:space="preserve">License</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Judge Platform — Customisation &amp; Localisation for Germany Frankfurt court workflows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127,500.00</w:t>
            </w:r>
          </w:p>
        </w:tc>
        <w:tc>
          <w:tcPr/>
          <w:p>
            <w:pPr>
              <w:pStyle w:val="Compact"/>
              <w:jc w:val="left"/>
            </w:pPr>
            <w:r>
              <w:t xml:space="preserve">127,500.00</w:t>
            </w:r>
          </w:p>
        </w:tc>
      </w:tr>
      <w:tr>
        <w:tc>
          <w:tcPr/>
          <w:p>
            <w:pPr>
              <w:pStyle w:val="Compact"/>
              <w:jc w:val="left"/>
            </w:pPr>
            <w:r>
              <w:t xml:space="preserve">03</w:t>
            </w:r>
          </w:p>
        </w:tc>
        <w:tc>
          <w:tcPr/>
          <w:p>
            <w:pPr>
              <w:pStyle w:val="Compact"/>
              <w:jc w:val="left"/>
            </w:pPr>
            <w:r>
              <w:t xml:space="preserve">Hardware &amp; On-Premises Server Infrastructure (Germany Frankfurt data centre, Frankfurt am Main)</w:t>
            </w:r>
          </w:p>
        </w:tc>
        <w:tc>
          <w:tcPr/>
          <w:p>
            <w:pPr>
              <w:pStyle w:val="Compact"/>
              <w:jc w:val="left"/>
            </w:pPr>
            <w:r>
              <w:t xml:space="preserve">Set</w:t>
            </w:r>
          </w:p>
        </w:tc>
        <w:tc>
          <w:tcPr/>
          <w:p>
            <w:pPr>
              <w:pStyle w:val="Compact"/>
              <w:jc w:val="left"/>
            </w:pPr>
            <w:r>
              <w:t xml:space="preserve">1</w:t>
            </w:r>
          </w:p>
        </w:tc>
        <w:tc>
          <w:tcPr/>
          <w:p>
            <w:pPr>
              <w:pStyle w:val="Compact"/>
              <w:jc w:val="left"/>
            </w:pPr>
            <w:r>
              <w:t xml:space="preserve">214,000.00</w:t>
            </w:r>
          </w:p>
        </w:tc>
        <w:tc>
          <w:tcPr/>
          <w:p>
            <w:pPr>
              <w:pStyle w:val="Compact"/>
              <w:jc w:val="left"/>
            </w:pPr>
            <w:r>
              <w:t xml:space="preserve">214,000.00</w:t>
            </w:r>
          </w:p>
        </w:tc>
      </w:tr>
      <w:tr>
        <w:tc>
          <w:tcPr/>
          <w:p>
            <w:pPr>
              <w:pStyle w:val="Compact"/>
              <w:jc w:val="left"/>
            </w:pPr>
            <w:r>
              <w:t xml:space="preserve">04</w:t>
            </w:r>
          </w:p>
        </w:tc>
        <w:tc>
          <w:tcPr/>
          <w:p>
            <w:pPr>
              <w:pStyle w:val="Compact"/>
              <w:jc w:val="left"/>
            </w:pPr>
            <w:r>
              <w:t xml:space="preserve">GDPR &amp; German Data Protection Compliance Audit &amp; Certification</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38,750.00</w:t>
            </w:r>
          </w:p>
        </w:tc>
        <w:tc>
          <w:tcPr/>
          <w:p>
            <w:pPr>
              <w:pStyle w:val="Compact"/>
              <w:jc w:val="left"/>
            </w:pPr>
            <w:r>
              <w:t xml:space="preserve">38,750.00</w:t>
            </w:r>
          </w:p>
        </w:tc>
      </w:tr>
      <w:tr>
        <w:tc>
          <w:tcPr/>
          <w:p>
            <w:pPr>
              <w:pStyle w:val="Compact"/>
              <w:jc w:val="left"/>
            </w:pPr>
            <w:r>
              <w:t xml:space="preserve">05</w:t>
            </w:r>
          </w:p>
        </w:tc>
        <w:tc>
          <w:tcPr/>
          <w:p>
            <w:pPr>
              <w:pStyle w:val="Compact"/>
              <w:jc w:val="left"/>
            </w:pPr>
            <w:r>
              <w:t xml:space="preserve">Staff Training &amp; Onboarding (judges, clerks, IT staff — 40 personnel, Germany Frankfurt)</w:t>
            </w:r>
          </w:p>
        </w:tc>
        <w:tc>
          <w:tcPr/>
          <w:p>
            <w:pPr>
              <w:pStyle w:val="Compact"/>
              <w:jc w:val="left"/>
            </w:pPr>
            <w:r>
              <w:t xml:space="preserve">Session</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06</w:t>
            </w:r>
          </w:p>
        </w:tc>
        <w:tc>
          <w:tcPr/>
          <w:p>
            <w:pPr>
              <w:pStyle w:val="Compact"/>
              <w:jc w:val="left"/>
            </w:pPr>
            <w:r>
              <w:t xml:space="preserve">Integration with German Federal Court Network (Gerichtsnetz) &amp; eZugang</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07</w:t>
            </w:r>
          </w:p>
        </w:tc>
        <w:tc>
          <w:tcPr/>
          <w:p>
            <w:pPr>
              <w:pStyle w:val="Compact"/>
              <w:jc w:val="left"/>
            </w:pPr>
            <w:r>
              <w:t xml:space="preserve">Annual Maintenance, Security Patches &amp; Technical Support (Year 1)</w:t>
            </w:r>
          </w:p>
        </w:tc>
        <w:tc>
          <w:tcPr/>
          <w:p>
            <w:pPr>
              <w:pStyle w:val="Compact"/>
              <w:jc w:val="left"/>
            </w:pPr>
            <w:r>
              <w:t xml:space="preserve">Year</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08</w:t>
            </w:r>
          </w:p>
        </w:tc>
        <w:tc>
          <w:tcPr/>
          <w:p>
            <w:pPr>
              <w:pStyle w:val="Compact"/>
              <w:jc w:val="left"/>
            </w:pPr>
            <w:r>
              <w:t xml:space="preserve">Project Management &amp; Deployment Supervision (Germany Frankfurt site, 14 months)</w:t>
            </w:r>
          </w:p>
        </w:tc>
        <w:tc>
          <w:tcPr/>
          <w:p>
            <w:pPr>
              <w:pStyle w:val="Compact"/>
              <w:jc w:val="left"/>
            </w:pPr>
            <w:r>
              <w:t xml:space="preserve">Month</w:t>
            </w:r>
          </w:p>
        </w:tc>
        <w:tc>
          <w:tcPr/>
          <w:p>
            <w:pPr>
              <w:pStyle w:val="Compact"/>
              <w:jc w:val="left"/>
            </w:pPr>
            <w:r>
              <w:t xml:space="preserve">14</w:t>
            </w:r>
          </w:p>
        </w:tc>
        <w:tc>
          <w:tcPr/>
          <w:p>
            <w:pPr>
              <w:pStyle w:val="Compact"/>
              <w:jc w:val="left"/>
            </w:pPr>
            <w:r>
              <w:t xml:space="preserve">8,500.00</w:t>
            </w:r>
          </w:p>
        </w:tc>
        <w:tc>
          <w:tcPr/>
          <w:p>
            <w:pPr>
              <w:pStyle w:val="Compact"/>
              <w:jc w:val="left"/>
            </w:pPr>
            <w:r>
              <w:t xml:space="preserve">119,000.00</w:t>
            </w:r>
          </w:p>
        </w:tc>
      </w:tr>
      <w:tr>
        <w:tc>
          <w:tcPr>
            <w:gridSpan w:val="5"/>
          </w:tcPr>
          <w:p>
            <w:pPr>
              <w:pStyle w:val="Compact"/>
              <w:jc w:val="left"/>
            </w:pPr>
            <w:r>
              <w:t xml:space="preserve">Subtotal (excl. VAT)</w:t>
            </w:r>
          </w:p>
        </w:tc>
        <w:tc>
          <w:tcPr/>
          <w:p>
            <w:pPr>
              <w:pStyle w:val="Compact"/>
              <w:jc w:val="left"/>
            </w:pPr>
            <w:r>
              <w:t xml:space="preserve">1,193,250.00</w:t>
            </w:r>
          </w:p>
        </w:tc>
      </w:tr>
      <w:tr>
        <w:tc>
          <w:tcPr>
            <w:gridSpan w:val="5"/>
          </w:tcPr>
          <w:p>
            <w:pPr>
              <w:pStyle w:val="Compact"/>
              <w:jc w:val="left"/>
            </w:pPr>
            <w:r>
              <w:t xml:space="preserve">VAT (19% — German Value Added Tax)</w:t>
            </w:r>
          </w:p>
        </w:tc>
        <w:tc>
          <w:tcPr/>
          <w:p>
            <w:pPr>
              <w:pStyle w:val="Compact"/>
              <w:jc w:val="left"/>
            </w:pPr>
            <w:r>
              <w:t xml:space="preserve">226,717.50</w:t>
            </w:r>
          </w:p>
        </w:tc>
      </w:tr>
      <w:tr>
        <w:tc>
          <w:tcPr>
            <w:gridSpan w:val="5"/>
          </w:tcPr>
          <w:p>
            <w:pPr>
              <w:pStyle w:val="Compact"/>
              <w:jc w:val="left"/>
            </w:pPr>
            <w:r>
              <w:t xml:space="preserve">TOTAL AMOUNT DUE (incl. VAT)</w:t>
            </w:r>
          </w:p>
        </w:tc>
        <w:tc>
          <w:tcPr/>
          <w:p>
            <w:pPr>
              <w:pStyle w:val="Compact"/>
              <w:jc w:val="left"/>
            </w:pPr>
            <w:r>
              <w:t xml:space="preserve">1,419,967.50</w:t>
            </w:r>
          </w:p>
        </w:tc>
      </w:tr>
    </w:tbl>
    <w:bookmarkEnd w:id="23"/>
    <w:bookmarkStart w:id="24" w:name="payment-terms"/>
    <w:p>
      <w:pPr>
        <w:pStyle w:val="Heading2"/>
      </w:pPr>
      <w:r>
        <w:t xml:space="preserve">4. Payment Terms</w:t>
      </w:r>
    </w:p>
    <w:p>
      <w:pPr>
        <w:pStyle w:val="FirstParagraph"/>
      </w:pPr>
      <w:r>
        <w:t xml:space="preserve">Payment for this Quotation Estimate shall be structured as follows: 30% upon contract execution, 40% upon successful deployment and acceptance testing of the</w:t>
      </w:r>
      <w:r>
        <w:t xml:space="preserve"> </w:t>
      </w:r>
      <w:r>
        <w:rPr>
          <w:bCs/>
          <w:b/>
        </w:rPr>
        <w:t xml:space="preserve">Judge</w:t>
      </w:r>
      <w:r>
        <w:t xml:space="preserve"> </w:t>
      </w:r>
      <w:r>
        <w:t xml:space="preserve">platform at the</w:t>
      </w:r>
      <w:r>
        <w:t xml:space="preserve"> </w:t>
      </w:r>
      <w:r>
        <w:rPr>
          <w:bCs/>
          <w:b/>
        </w:rPr>
        <w:t xml:space="preserve">Germany Frankfurt</w:t>
      </w:r>
      <w:r>
        <w:t xml:space="preserve"> </w:t>
      </w:r>
      <w:r>
        <w:t xml:space="preserve">site, and 30% upon completion of the first full quarter of operational use. All invoices shall be issued in Euro (EUR) and are payable within 30 days of the invoice date via bank transfer to the account of Meridian Judicial Systems GmbH, Frankfurt am Main.</w:t>
      </w:r>
    </w:p>
    <w:bookmarkEnd w:id="24"/>
    <w:bookmarkStart w:id="25" w:name="delivery-implementation-timeline"/>
    <w:p>
      <w:pPr>
        <w:pStyle w:val="Heading2"/>
      </w:pPr>
      <w:r>
        <w:t xml:space="preserve">5. Delivery &amp; Implementation Timeline</w:t>
      </w:r>
    </w:p>
    <w:p>
      <w:pPr>
        <w:pStyle w:val="FirstParagraph"/>
      </w:pPr>
      <w:r>
        <w:t xml:space="preserve">The total implementation period for the</w:t>
      </w:r>
      <w:r>
        <w:t xml:space="preserve"> </w:t>
      </w:r>
      <w:r>
        <w:rPr>
          <w:bCs/>
          <w:b/>
        </w:rPr>
        <w:t xml:space="preserve">Judge</w:t>
      </w:r>
      <w:r>
        <w:t xml:space="preserve"> </w:t>
      </w:r>
      <w:r>
        <w:t xml:space="preserve">platform in</w:t>
      </w:r>
      <w:r>
        <w:t xml:space="preserve"> </w:t>
      </w:r>
      <w:r>
        <w:rPr>
          <w:bCs/>
          <w:b/>
        </w:rPr>
        <w:t xml:space="preserve">Germany Frankfurt</w:t>
      </w:r>
      <w:r>
        <w:t xml:space="preserve"> </w:t>
      </w:r>
      <w:r>
        <w:t xml:space="preserve">is estimated at fourteen (14) calendar months from the date of contract signature. Phase 1 (requirements finalisation and infrastructure provisioning) spans months 1–3. Phase 2 (customisation, integration, and internal testing) spans months 4–9. Phase 3 (pilot deployment with a selected chamber of the Landgericht Frankfurt am Main) spans months 10–12. Phase 4 (full rollout, training, and go-live) spans months 13–14.</w:t>
      </w:r>
    </w:p>
    <w:bookmarkEnd w:id="25"/>
    <w:bookmarkStart w:id="26" w:name="terms-conditions"/>
    <w:p>
      <w:pPr>
        <w:pStyle w:val="Heading2"/>
      </w:pPr>
      <w:r>
        <w:t xml:space="preserve">6. Terms &amp; Conditions</w:t>
      </w:r>
    </w:p>
    <w:p>
      <w:pPr>
        <w:numPr>
          <w:ilvl w:val="0"/>
          <w:numId w:val="1002"/>
        </w:numPr>
        <w:pStyle w:val="Compact"/>
      </w:pPr>
      <w:r>
        <w:t xml:space="preserve">This Quotation Estimate is valid for a period of ninety (90) days from the date of issue. After this period, all pricing is subject to revision.</w:t>
      </w:r>
    </w:p>
    <w:p>
      <w:pPr>
        <w:numPr>
          <w:ilvl w:val="0"/>
          <w:numId w:val="1002"/>
        </w:numPr>
        <w:pStyle w:val="Compact"/>
      </w:pPr>
      <w:r>
        <w:t xml:space="preserve">All intellectual property rights in the</w:t>
      </w:r>
      <w:r>
        <w:t xml:space="preserve"> </w:t>
      </w:r>
      <w:r>
        <w:rPr>
          <w:bCs/>
          <w:b/>
        </w:rPr>
        <w:t xml:space="preserve">Judge</w:t>
      </w:r>
      <w:r>
        <w:t xml:space="preserve"> </w:t>
      </w:r>
      <w:r>
        <w:t xml:space="preserve">platform software remain with Meridian Judicial Systems GmbH. The client receives a perpetual, non-transferable license for use within the</w:t>
      </w:r>
      <w:r>
        <w:t xml:space="preserve"> </w:t>
      </w:r>
      <w:r>
        <w:rPr>
          <w:bCs/>
          <w:b/>
        </w:rPr>
        <w:t xml:space="preserve">Germany Frankfurt</w:t>
      </w:r>
      <w:r>
        <w:t xml:space="preserve"> </w:t>
      </w:r>
      <w:r>
        <w:t xml:space="preserve">judicial district.</w:t>
      </w:r>
    </w:p>
    <w:p>
      <w:pPr>
        <w:numPr>
          <w:ilvl w:val="0"/>
          <w:numId w:val="1002"/>
        </w:numPr>
        <w:pStyle w:val="Compact"/>
      </w:pPr>
      <w:r>
        <w:t xml:space="preserve">The</w:t>
      </w:r>
      <w:r>
        <w:t xml:space="preserve"> </w:t>
      </w:r>
      <w:r>
        <w:rPr>
          <w:bCs/>
          <w:b/>
        </w:rPr>
        <w:t xml:space="preserve">Judge</w:t>
      </w:r>
      <w:r>
        <w:t xml:space="preserve"> </w:t>
      </w:r>
      <w:r>
        <w:t xml:space="preserve">platform shall be hosted exclusively within a certified data centre located in Frankfurt am Main, Germany, in compliance with German federal data sovereignty requirements.</w:t>
      </w:r>
    </w:p>
    <w:p>
      <w:pPr>
        <w:numPr>
          <w:ilvl w:val="0"/>
          <w:numId w:val="1002"/>
        </w:numPr>
        <w:pStyle w:val="Compact"/>
      </w:pPr>
      <w:r>
        <w:t xml:space="preserve">Any changes to the scope of work outlined in this Quotation Estimate must be documented in a formal change order signed by both parties before implementation.</w:t>
      </w:r>
    </w:p>
    <w:p>
      <w:pPr>
        <w:numPr>
          <w:ilvl w:val="0"/>
          <w:numId w:val="1002"/>
        </w:numPr>
        <w:pStyle w:val="Compact"/>
      </w:pPr>
      <w:r>
        <w:t xml:space="preserve">Warranty for the</w:t>
      </w:r>
      <w:r>
        <w:t xml:space="preserve"> </w:t>
      </w:r>
      <w:r>
        <w:rPr>
          <w:bCs/>
          <w:b/>
        </w:rPr>
        <w:t xml:space="preserve">Judge</w:t>
      </w:r>
      <w:r>
        <w:t xml:space="preserve"> </w:t>
      </w:r>
      <w:r>
        <w:t xml:space="preserve">platform hardware and software is provided for a period of twenty-four (24) months from the date of final acceptance.</w:t>
      </w:r>
    </w:p>
    <w:p>
      <w:pPr>
        <w:numPr>
          <w:ilvl w:val="0"/>
          <w:numId w:val="1002"/>
        </w:numPr>
        <w:pStyle w:val="Compact"/>
      </w:pPr>
      <w:r>
        <w:t xml:space="preserve">This Quotation Estimate is governed by the laws of the Federal Republic of Germany. Any disputes shall be subject to the exclusive jurisdiction of the competent courts in Frankfurt am Main, Germany.</w:t>
      </w:r>
    </w:p>
    <w:p>
      <w:pPr>
        <w:numPr>
          <w:ilvl w:val="0"/>
          <w:numId w:val="1002"/>
        </w:numPr>
        <w:pStyle w:val="Compact"/>
      </w:pPr>
      <w:r>
        <w:t xml:space="preserve">Confidentiality obligations under this Quotation Estimate and any resulting contract shall survive termination for a period of five (5) years.</w:t>
      </w:r>
    </w:p>
    <w:p>
      <w:pPr>
        <w:pStyle w:val="FirstParagraph"/>
      </w:pPr>
      <w:r>
        <w:rPr>
          <w:bCs/>
          <w:b/>
        </w:rPr>
        <w:t xml:space="preserve">Important Note:</w:t>
      </w:r>
      <w:r>
        <w:t xml:space="preserve"> </w:t>
      </w:r>
      <w:r>
        <w:t xml:space="preserve">This Quotation Estimate is a non-binding preliminary estimate. Final pricing may be adjusted following a detailed on-site assessment at the Landgericht Frankfurt am Main premises in</w:t>
      </w:r>
      <w:r>
        <w:t xml:space="preserve"> </w:t>
      </w:r>
      <w:r>
        <w:rPr>
          <w:bCs/>
          <w:b/>
        </w:rPr>
        <w:t xml:space="preserve">Germany Frankfurt</w:t>
      </w:r>
      <w:r>
        <w:t xml:space="preserve">. The</w:t>
      </w:r>
      <w:r>
        <w:t xml:space="preserve"> </w:t>
      </w:r>
      <w:r>
        <w:rPr>
          <w:bCs/>
          <w:b/>
        </w:rPr>
        <w:t xml:space="preserve">Judge</w:t>
      </w:r>
      <w:r>
        <w:t xml:space="preserve"> </w:t>
      </w:r>
      <w:r>
        <w:t xml:space="preserve">platform configuration will be finalised in a dedicated requirements workshop scheduled within the first two weeks of contract execution. All figures are exclusive of any applicable German customs duties, import taxes, or third-party licensing fees not explicitly listed above.</w:t>
      </w:r>
    </w:p>
    <w:bookmarkEnd w:id="26"/>
    <w:bookmarkStart w:id="27" w:name="acceptance-signature"/>
    <w:p>
      <w:pPr>
        <w:pStyle w:val="Heading2"/>
      </w:pPr>
      <w:r>
        <w:t xml:space="preserve">7. Acceptance &amp; Signature</w:t>
      </w:r>
    </w:p>
    <w:p>
      <w:pPr>
        <w:pStyle w:val="FirstParagraph"/>
      </w:pPr>
      <w:r>
        <w:t xml:space="preserve">By signing below, both parties acknowledge and agree to the terms, conditions, and pricing outlined in this Quotation Estimate for the</w:t>
      </w:r>
      <w:r>
        <w:t xml:space="preserve"> </w:t>
      </w:r>
      <w:r>
        <w:rPr>
          <w:bCs/>
          <w:b/>
        </w:rPr>
        <w:t xml:space="preserve">Judge</w:t>
      </w:r>
      <w:r>
        <w:t xml:space="preserve"> </w:t>
      </w:r>
      <w:r>
        <w:t xml:space="preserve">platform deployment in</w:t>
      </w:r>
      <w:r>
        <w:t xml:space="preserve"> </w:t>
      </w:r>
      <w:r>
        <w:rPr>
          <w:bCs/>
          <w:b/>
        </w:rPr>
        <w:t xml:space="preserve">Germany Frankfurt</w:t>
      </w:r>
      <w:r>
        <w:t xml:space="preserve">.</w:t>
      </w:r>
    </w:p>
    <w:p>
      <w:pPr>
        <w:pStyle w:val="BodyText"/>
      </w:pPr>
      <w:r>
        <w:rPr>
          <w:bCs/>
          <w:b/>
        </w:rPr>
        <w:t xml:space="preserve">For Meridian Judicial Systems GmbH</w:t>
      </w:r>
      <w:r>
        <w:br/>
      </w:r>
      <w:r>
        <w:t xml:space="preserve">Name: ______________________________</w:t>
      </w:r>
      <w:r>
        <w:br/>
      </w:r>
      <w:r>
        <w:t xml:space="preserve">Title: Managing Director</w:t>
      </w:r>
      <w:r>
        <w:br/>
      </w:r>
      <w:r>
        <w:t xml:space="preserve">Date: ______________________________</w:t>
      </w:r>
      <w:r>
        <w:br/>
      </w:r>
      <w:r>
        <w:t xml:space="preserve">Signature: ______________________________</w:t>
      </w:r>
    </w:p>
    <w:p>
      <w:pPr>
        <w:pStyle w:val="BodyText"/>
      </w:pPr>
      <w:r>
        <w:rPr>
          <w:bCs/>
          <w:b/>
        </w:rPr>
        <w:t xml:space="preserve">For Landgericht Frankfurt am Main</w:t>
      </w:r>
      <w:r>
        <w:br/>
      </w:r>
      <w:r>
        <w:t xml:space="preserve">Name: ______________________________</w:t>
      </w:r>
      <w:r>
        <w:br/>
      </w:r>
      <w:r>
        <w:t xml:space="preserve">Title: President of the Court / Judicial Administrator</w:t>
      </w:r>
      <w:r>
        <w:br/>
      </w:r>
      <w:r>
        <w:t xml:space="preserve">Date: ______________________________</w:t>
      </w:r>
      <w:r>
        <w:br/>
      </w:r>
      <w:r>
        <w:t xml:space="preserve">Signature: ______________________________</w:t>
      </w:r>
    </w:p>
    <w:p>
      <w:pPr>
        <w:pStyle w:val="BodyText"/>
      </w:pPr>
      <w:r>
        <w:t xml:space="preserve">Quotation Estimate QTE-JDG-FRA-2025-0047 — Judge Platform — Germany Frankfurt</w:t>
      </w:r>
      <w:r>
        <w:br/>
      </w:r>
      <w:r>
        <w:t xml:space="preserve">Meridian Judicial Systems GmbH • Bockenheimer Landstraße 24 • 60323 Frankfurt am Main • Germany</w:t>
      </w:r>
      <w:r>
        <w:br/>
      </w:r>
      <w:r>
        <w:t xml:space="preserve">USt-IdNr.: DE 312 456 789 • HRB 87654 Frankfurt am Main</w:t>
      </w:r>
      <w:r>
        <w:br/>
      </w:r>
      <w:r>
        <w:t xml:space="preserve">This document is confidential and intended solely for the named recipient.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Platform - Germany Frankfurt</dc:title>
  <dc:creator/>
  <dc:language>en</dc:language>
  <cp:keywords/>
  <dcterms:created xsi:type="dcterms:W3CDTF">2026-10-10T07:32:03Z</dcterms:created>
  <dcterms:modified xsi:type="dcterms:W3CDTF">2026-10-10T07:32:03Z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