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quotation-estimate"/>
    <w:p>
      <w:pPr>
        <w:pStyle w:val="Heading1"/>
      </w:pPr>
      <w:r>
        <w:t xml:space="preserve">QUOTATION ESTIMATE</w:t>
      </w:r>
    </w:p>
    <w:p>
      <w:pPr>
        <w:pStyle w:val="FirstParagraph"/>
      </w:pPr>
      <w:r>
        <w:t xml:space="preserve">Professional Judge Services — New Delhi, India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QTE/NDL/2025/0472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By:</w:t>
            </w:r>
          </w:p>
        </w:tc>
        <w:tc>
          <w:tcPr/>
          <w:p>
            <w:pPr>
              <w:pStyle w:val="Compact"/>
              <w:jc w:val="left"/>
            </w:pPr>
            <w:r>
              <w:t xml:space="preserve">Meridian Event Advisory Services Pvt. Ltd.</w:t>
            </w:r>
          </w:p>
        </w:tc>
      </w:tr>
      <w:tr>
        <w:tc>
          <w:tcPr/>
          <w:p>
            <w:pPr>
              <w:pStyle w:val="Compact"/>
              <w:jc w:val="left"/>
            </w:pPr>
            <w:r>
              <w:t xml:space="preserve">Address:</w:t>
            </w:r>
          </w:p>
        </w:tc>
        <w:tc>
          <w:tcPr/>
          <w:p>
            <w:pPr>
              <w:pStyle w:val="Compact"/>
              <w:jc w:val="left"/>
            </w:pPr>
            <w:r>
              <w:t xml:space="preserve">Suite 412, Connaught Place, New Delhi – 110001, India</w:t>
            </w:r>
          </w:p>
        </w:tc>
      </w:tr>
      <w:tr>
        <w:tc>
          <w:tcPr/>
          <w:p>
            <w:pPr>
              <w:pStyle w:val="Compact"/>
              <w:jc w:val="left"/>
            </w:pPr>
            <w:r>
              <w:t xml:space="preserve">Contact:</w:t>
            </w:r>
          </w:p>
        </w:tc>
        <w:tc>
          <w:tcPr/>
          <w:p>
            <w:pPr>
              <w:pStyle w:val="Compact"/>
              <w:jc w:val="left"/>
            </w:pPr>
            <w:r>
              <w:t xml:space="preserve">quotation@meridianevents.in | +91-11-4567-8900</w:t>
            </w:r>
          </w:p>
        </w:tc>
      </w:tr>
      <w:tr>
        <w:tc>
          <w:tcPr/>
          <w:p>
            <w:pPr>
              <w:pStyle w:val="Compact"/>
              <w:jc w:val="left"/>
            </w:pPr>
            <w:r>
              <w:t xml:space="preserve">Prepared For:</w:t>
            </w:r>
          </w:p>
        </w:tc>
        <w:tc>
          <w:tcPr/>
          <w:p>
            <w:pPr>
              <w:pStyle w:val="Compact"/>
              <w:jc w:val="left"/>
            </w:pPr>
            <w:r>
              <w:t xml:space="preserve">The Client (Name to be confirmed upon acceptance)</w:t>
            </w:r>
          </w:p>
        </w:tc>
      </w:tr>
      <w:tr>
        <w:tc>
          <w:tcPr/>
          <w:p>
            <w:pPr>
              <w:pStyle w:val="Compact"/>
              <w:jc w:val="left"/>
            </w:pPr>
            <w:r>
              <w:t xml:space="preserve">Event Location:</w:t>
            </w:r>
          </w:p>
        </w:tc>
        <w:tc>
          <w:tcPr/>
          <w:p>
            <w:pPr>
              <w:pStyle w:val="Compact"/>
              <w:jc w:val="left"/>
            </w:pPr>
            <w:r>
              <w:t xml:space="preserve">New Delhi, India</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Event Advisory Services Pvt. Ltd. to provide a comprehensive and itemized cost breakdown for the engagement of professional</w:t>
      </w:r>
      <w:r>
        <w:t xml:space="preserve"> </w:t>
      </w:r>
      <w:r>
        <w:rPr>
          <w:bCs/>
          <w:b/>
        </w:rPr>
        <w:t xml:space="preserve">Judge</w:t>
      </w:r>
      <w:r>
        <w:t xml:space="preserve"> </w:t>
      </w:r>
      <w:r>
        <w:t xml:space="preserve">services in connection with a scheduled event, competition, or evaluation panel to be conducted in</w:t>
      </w:r>
      <w:r>
        <w:t xml:space="preserve"> </w:t>
      </w:r>
      <w:r>
        <w:rPr>
          <w:bCs/>
          <w:b/>
        </w:rPr>
        <w:t xml:space="preserve">New Delhi, India</w:t>
      </w:r>
      <w:r>
        <w:t xml:space="preserve">. The scope of this Quotation Estimate covers the recruitment, coordination, scheduling, and on-site management of qualified Judge professionals who will assess, evaluate, and render verdicts in accordance with the event's established criteria and regulatory framework applicable within the jurisdiction of New Delhi, India.</w:t>
      </w:r>
    </w:p>
    <w:p>
      <w:pPr>
        <w:pStyle w:val="BodyText"/>
      </w:pPr>
      <w:r>
        <w:t xml:space="preserve">All rates quoted herein are exclusive of applicable Goods and Services Tax (GST) at the prevailing rate of 18% as mandated by the Government of India, unless otherwise stated. This Quotation Estimate is prepared in full compliance with the commercial and professional standards governing service engagements in the National Capital Territory of Delhi, India.</w:t>
      </w:r>
    </w:p>
    <w:bookmarkEnd w:id="21"/>
    <w:bookmarkStart w:id="22" w:name="itemized-cost-breakdown-judge-services"/>
    <w:p>
      <w:pPr>
        <w:pStyle w:val="Heading2"/>
      </w:pPr>
      <w:r>
        <w:t xml:space="preserve">2. Itemized Cost Breakdown — Judge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w:t>
            </w:r>
          </w:p>
        </w:tc>
        <w:tc>
          <w:tcPr/>
          <w:p>
            <w:pPr>
              <w:pStyle w:val="Compact"/>
              <w:jc w:val="left"/>
            </w:pPr>
            <w:r>
              <w:t xml:space="preserve">Description of Judge Service</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Chief Judge — Senior evaluation panelist with minimum 15 years of domain expertise. Responsible for final adjudication and presiding over the judging session in New Delhi, India.</w:t>
            </w:r>
          </w:p>
        </w:tc>
        <w:tc>
          <w:tcPr/>
          <w:p>
            <w:pPr>
              <w:pStyle w:val="Compact"/>
              <w:jc w:val="left"/>
            </w:pPr>
            <w:r>
              <w:t xml:space="preserve">1 (person)</w:t>
            </w:r>
          </w:p>
        </w:tc>
        <w:tc>
          <w:tcPr/>
          <w:p>
            <w:pPr>
              <w:pStyle w:val="Compact"/>
              <w:jc w:val="left"/>
            </w:pPr>
            <w:r>
              <w:t xml:space="preserve">₹ 75,000</w:t>
            </w:r>
          </w:p>
        </w:tc>
        <w:tc>
          <w:tcPr/>
          <w:p>
            <w:pPr>
              <w:pStyle w:val="Compact"/>
              <w:jc w:val="left"/>
            </w:pPr>
            <w:r>
              <w:t xml:space="preserve">₹ 75,000</w:t>
            </w:r>
          </w:p>
        </w:tc>
        <w:tc>
          <w:tcPr/>
          <w:p>
            <w:pPr>
              <w:pStyle w:val="Compact"/>
              <w:jc w:val="left"/>
            </w:pPr>
            <w:r>
              <w:t xml:space="preserve">Full-day engagement (8 hrs)</w:t>
            </w:r>
          </w:p>
        </w:tc>
      </w:tr>
      <w:tr>
        <w:tc>
          <w:tcPr/>
          <w:p>
            <w:pPr>
              <w:pStyle w:val="Compact"/>
              <w:jc w:val="left"/>
            </w:pPr>
            <w:r>
              <w:t xml:space="preserve">2</w:t>
            </w:r>
          </w:p>
        </w:tc>
        <w:tc>
          <w:tcPr/>
          <w:p>
            <w:pPr>
              <w:pStyle w:val="Compact"/>
              <w:jc w:val="left"/>
            </w:pPr>
            <w:r>
              <w:t xml:space="preserve">Associate Judge Panel — Three (3) qualified Judge professionals to serve as supporting evaluators. Each Judge shall possess a minimum of 10 years of relevant experience and a recognized professional credential.</w:t>
            </w:r>
          </w:p>
        </w:tc>
        <w:tc>
          <w:tcPr/>
          <w:p>
            <w:pPr>
              <w:pStyle w:val="Compact"/>
              <w:jc w:val="left"/>
            </w:pPr>
            <w:r>
              <w:t xml:space="preserve">3 (persons)</w:t>
            </w:r>
          </w:p>
        </w:tc>
        <w:tc>
          <w:tcPr/>
          <w:p>
            <w:pPr>
              <w:pStyle w:val="Compact"/>
              <w:jc w:val="left"/>
            </w:pPr>
            <w:r>
              <w:t xml:space="preserve">₹ 45,000 each</w:t>
            </w:r>
          </w:p>
        </w:tc>
        <w:tc>
          <w:tcPr/>
          <w:p>
            <w:pPr>
              <w:pStyle w:val="Compact"/>
              <w:jc w:val="left"/>
            </w:pPr>
            <w:r>
              <w:t xml:space="preserve">₹ 1,35,000</w:t>
            </w:r>
          </w:p>
        </w:tc>
        <w:tc>
          <w:tcPr/>
          <w:p>
            <w:pPr>
              <w:pStyle w:val="Compact"/>
              <w:jc w:val="left"/>
            </w:pPr>
            <w:r>
              <w:t xml:space="preserve">Full-day engagement (8 hrs)</w:t>
            </w:r>
          </w:p>
        </w:tc>
      </w:tr>
      <w:tr>
        <w:tc>
          <w:tcPr/>
          <w:p>
            <w:pPr>
              <w:pStyle w:val="Compact"/>
              <w:jc w:val="left"/>
            </w:pPr>
            <w:r>
              <w:t xml:space="preserve">3</w:t>
            </w:r>
          </w:p>
        </w:tc>
        <w:tc>
          <w:tcPr/>
          <w:p>
            <w:pPr>
              <w:pStyle w:val="Compact"/>
              <w:jc w:val="left"/>
            </w:pPr>
            <w:r>
              <w:t xml:space="preserve">Technical Judge — Specialized Judge for technical or domain-specific evaluation criteria. Engaged for events requiring subject-matter expertise in engineering, design, or scientific assessment.</w:t>
            </w:r>
          </w:p>
        </w:tc>
        <w:tc>
          <w:tcPr/>
          <w:p>
            <w:pPr>
              <w:pStyle w:val="Compact"/>
              <w:jc w:val="left"/>
            </w:pPr>
            <w:r>
              <w:t xml:space="preserve">1 (person)</w:t>
            </w:r>
          </w:p>
        </w:tc>
        <w:tc>
          <w:tcPr/>
          <w:p>
            <w:pPr>
              <w:pStyle w:val="Compact"/>
              <w:jc w:val="left"/>
            </w:pPr>
            <w:r>
              <w:t xml:space="preserve">₹ 55,000</w:t>
            </w:r>
          </w:p>
        </w:tc>
        <w:tc>
          <w:tcPr/>
          <w:p>
            <w:pPr>
              <w:pStyle w:val="Compact"/>
              <w:jc w:val="left"/>
            </w:pPr>
            <w:r>
              <w:t xml:space="preserve">₹ 55,000</w:t>
            </w:r>
          </w:p>
        </w:tc>
        <w:tc>
          <w:tcPr/>
          <w:p>
            <w:pPr>
              <w:pStyle w:val="Compact"/>
              <w:jc w:val="left"/>
            </w:pPr>
            <w:r>
              <w:t xml:space="preserve">Half-day engagement (4 hrs)</w:t>
            </w:r>
          </w:p>
        </w:tc>
      </w:tr>
      <w:tr>
        <w:tc>
          <w:tcPr/>
          <w:p>
            <w:pPr>
              <w:pStyle w:val="Compact"/>
              <w:jc w:val="left"/>
            </w:pPr>
            <w:r>
              <w:t xml:space="preserve">4</w:t>
            </w:r>
          </w:p>
        </w:tc>
        <w:tc>
          <w:tcPr/>
          <w:p>
            <w:pPr>
              <w:pStyle w:val="Compact"/>
              <w:jc w:val="left"/>
            </w:pPr>
            <w:r>
              <w:t xml:space="preserve">Judge Coordination &amp; Logistics — End-to-end management of all Judge personnel including travel within New Delhi, accommodation (if multi-day), briefing sessions, scoring materials, and on-site support staff.</w:t>
            </w:r>
          </w:p>
        </w:tc>
        <w:tc>
          <w:tcPr/>
          <w:p>
            <w:pPr>
              <w:pStyle w:val="Compact"/>
              <w:jc w:val="left"/>
            </w:pPr>
            <w:r>
              <w:t xml:space="preserve">1 (lump sum)</w:t>
            </w:r>
          </w:p>
        </w:tc>
        <w:tc>
          <w:tcPr/>
          <w:p>
            <w:pPr>
              <w:pStyle w:val="Compact"/>
              <w:jc w:val="left"/>
            </w:pPr>
            <w:r>
              <w:t xml:space="preserve">₹ 32,000</w:t>
            </w:r>
          </w:p>
        </w:tc>
        <w:tc>
          <w:tcPr/>
          <w:p>
            <w:pPr>
              <w:pStyle w:val="Compact"/>
              <w:jc w:val="left"/>
            </w:pPr>
            <w:r>
              <w:t xml:space="preserve">₹ 32,000</w:t>
            </w:r>
          </w:p>
        </w:tc>
        <w:tc>
          <w:tcPr/>
          <w:p>
            <w:pPr>
              <w:pStyle w:val="Compact"/>
              <w:jc w:val="left"/>
            </w:pPr>
            <w:r>
              <w:t xml:space="preserve">Covers all 5 Judge personnel</w:t>
            </w:r>
          </w:p>
        </w:tc>
      </w:tr>
      <w:tr>
        <w:tc>
          <w:tcPr/>
          <w:p>
            <w:pPr>
              <w:pStyle w:val="Compact"/>
              <w:jc w:val="left"/>
            </w:pPr>
            <w:r>
              <w:t xml:space="preserve">5</w:t>
            </w:r>
          </w:p>
        </w:tc>
        <w:tc>
          <w:tcPr/>
          <w:p>
            <w:pPr>
              <w:pStyle w:val="Compact"/>
              <w:jc w:val="left"/>
            </w:pPr>
            <w:r>
              <w:t xml:space="preserve">Judge Evaluation Framework Design — Preparation of structured scoring rubrics, evaluation criteria sheets, and verdict documentation templates tailored to the specific event requirements in New Delhi, India.</w:t>
            </w:r>
          </w:p>
        </w:tc>
        <w:tc>
          <w:tcPr/>
          <w:p>
            <w:pPr>
              <w:pStyle w:val="Compact"/>
              <w:jc w:val="left"/>
            </w:pPr>
            <w:r>
              <w:t xml:space="preserve">1 (lump sum)</w:t>
            </w:r>
          </w:p>
        </w:tc>
        <w:tc>
          <w:tcPr/>
          <w:p>
            <w:pPr>
              <w:pStyle w:val="Compact"/>
              <w:jc w:val="left"/>
            </w:pPr>
            <w:r>
              <w:t xml:space="preserve">₹ 25,000</w:t>
            </w:r>
          </w:p>
        </w:tc>
        <w:tc>
          <w:tcPr/>
          <w:p>
            <w:pPr>
              <w:pStyle w:val="Compact"/>
              <w:jc w:val="left"/>
            </w:pPr>
            <w:r>
              <w:t xml:space="preserve">₹ 25,000</w:t>
            </w:r>
          </w:p>
        </w:tc>
        <w:tc>
          <w:tcPr/>
          <w:p>
            <w:pPr>
              <w:pStyle w:val="Compact"/>
              <w:jc w:val="left"/>
            </w:pPr>
            <w:r>
              <w:t xml:space="preserve">Delivered 7 days prior to event</w:t>
            </w:r>
          </w:p>
        </w:tc>
      </w:tr>
      <w:tr>
        <w:tc>
          <w:tcPr/>
          <w:p>
            <w:pPr>
              <w:pStyle w:val="Compact"/>
              <w:jc w:val="left"/>
            </w:pPr>
            <w:r>
              <w:t xml:space="preserve">6</w:t>
            </w:r>
          </w:p>
        </w:tc>
        <w:tc>
          <w:tcPr/>
          <w:p>
            <w:pPr>
              <w:pStyle w:val="Compact"/>
              <w:jc w:val="left"/>
            </w:pPr>
            <w:r>
              <w:t xml:space="preserve">Post-Event Judge Report &amp; Certification — Compilation of consolidated Judge verdicts, written evaluation reports, and issuance of formal certification documents bearing the Judge panel's collective assessment.</w:t>
            </w:r>
          </w:p>
        </w:tc>
        <w:tc>
          <w:tcPr/>
          <w:p>
            <w:pPr>
              <w:pStyle w:val="Compact"/>
              <w:jc w:val="left"/>
            </w:pPr>
            <w:r>
              <w:t xml:space="preserve">1 (lump sum)</w:t>
            </w:r>
          </w:p>
        </w:tc>
        <w:tc>
          <w:tcPr/>
          <w:p>
            <w:pPr>
              <w:pStyle w:val="Compact"/>
              <w:jc w:val="left"/>
            </w:pPr>
            <w:r>
              <w:t xml:space="preserve">₹ 18,000</w:t>
            </w:r>
          </w:p>
        </w:tc>
        <w:tc>
          <w:tcPr/>
          <w:p>
            <w:pPr>
              <w:pStyle w:val="Compact"/>
              <w:jc w:val="left"/>
            </w:pPr>
            <w:r>
              <w:t xml:space="preserve">₹ 18,000</w:t>
            </w:r>
          </w:p>
        </w:tc>
        <w:tc>
          <w:tcPr/>
          <w:p>
            <w:pPr>
              <w:pStyle w:val="Compact"/>
              <w:jc w:val="left"/>
            </w:pPr>
            <w:r>
              <w:t xml:space="preserve">Delivered within 5 working days</w:t>
            </w:r>
          </w:p>
        </w:tc>
      </w:tr>
      <w:tr>
        <w:tc>
          <w:tcPr/>
          <w:p>
            <w:pPr>
              <w:pStyle w:val="Compact"/>
              <w:jc w:val="left"/>
            </w:pPr>
            <w:r>
              <w:t xml:space="preserve">7</w:t>
            </w:r>
          </w:p>
        </w:tc>
        <w:tc>
          <w:tcPr/>
          <w:p>
            <w:pPr>
              <w:pStyle w:val="Compact"/>
              <w:jc w:val="left"/>
            </w:pPr>
            <w:r>
              <w:t xml:space="preserve">Contingency &amp; Substitution Provision — Provision for replacement of any Judge in the event of unforeseen absence, illness, or scheduling conflict. Includes standby Judge arrangement.</w:t>
            </w:r>
          </w:p>
        </w:tc>
        <w:tc>
          <w:tcPr/>
          <w:p>
            <w:pPr>
              <w:pStyle w:val="Compact"/>
              <w:jc w:val="left"/>
            </w:pPr>
            <w:r>
              <w:t xml:space="preserve">1 (lump sum)</w:t>
            </w:r>
          </w:p>
        </w:tc>
        <w:tc>
          <w:tcPr/>
          <w:p>
            <w:pPr>
              <w:pStyle w:val="Compact"/>
              <w:jc w:val="left"/>
            </w:pPr>
            <w:r>
              <w:t xml:space="preserve">₹ 15,000</w:t>
            </w:r>
          </w:p>
        </w:tc>
        <w:tc>
          <w:tcPr/>
          <w:p>
            <w:pPr>
              <w:pStyle w:val="Compact"/>
              <w:jc w:val="left"/>
            </w:pPr>
            <w:r>
              <w:t xml:space="preserve">₹ 15,000</w:t>
            </w:r>
          </w:p>
        </w:tc>
        <w:tc>
          <w:tcPr/>
          <w:p>
            <w:pPr>
              <w:pStyle w:val="Compact"/>
              <w:jc w:val="left"/>
            </w:pPr>
            <w:r>
              <w:t xml:space="preserve">Charged only if utilized</w:t>
            </w:r>
          </w:p>
        </w:tc>
      </w:tr>
      <w:tr>
        <w:tc>
          <w:tcPr>
            <w:gridSpan w:val="4"/>
          </w:tcPr>
          <w:p>
            <w:pPr>
              <w:pStyle w:val="Compact"/>
              <w:jc w:val="left"/>
            </w:pPr>
            <w:r>
              <w:t xml:space="preserve">Subtotal (Excluding GST)</w:t>
            </w:r>
          </w:p>
        </w:tc>
        <w:tc>
          <w:tcPr/>
          <w:p>
            <w:pPr>
              <w:pStyle w:val="Compact"/>
              <w:jc w:val="left"/>
            </w:pPr>
            <w:r>
              <w:t xml:space="preserve">₹ 3,55,000</w:t>
            </w:r>
          </w:p>
        </w:tc>
        <w:tc>
          <w:tcPr/>
          <w:p>
            <w:pPr>
              <w:pStyle w:val="Compact"/>
            </w:pPr>
          </w:p>
        </w:tc>
      </w:tr>
      <w:tr>
        <w:tc>
          <w:tcPr>
            <w:gridSpan w:val="4"/>
          </w:tcPr>
          <w:p>
            <w:pPr>
              <w:pStyle w:val="Compact"/>
              <w:jc w:val="left"/>
            </w:pPr>
            <w:r>
              <w:t xml:space="preserve">GST @ 18% (as per Indian tax regulations)</w:t>
            </w:r>
          </w:p>
        </w:tc>
        <w:tc>
          <w:tcPr/>
          <w:p>
            <w:pPr>
              <w:pStyle w:val="Compact"/>
              <w:jc w:val="left"/>
            </w:pPr>
            <w:r>
              <w:t xml:space="preserve">₹ 63,900</w:t>
            </w:r>
          </w:p>
        </w:tc>
        <w:tc>
          <w:tcPr/>
          <w:p>
            <w:pPr>
              <w:pStyle w:val="Compact"/>
            </w:pPr>
          </w:p>
        </w:tc>
      </w:tr>
      <w:tr>
        <w:tc>
          <w:tcPr>
            <w:gridSpan w:val="4"/>
          </w:tcPr>
          <w:p>
            <w:pPr>
              <w:pStyle w:val="Compact"/>
              <w:jc w:val="left"/>
            </w:pPr>
            <w:r>
              <w:t xml:space="preserve">Grand Total (Inclusive of GST)</w:t>
            </w:r>
          </w:p>
        </w:tc>
        <w:tc>
          <w:tcPr/>
          <w:p>
            <w:pPr>
              <w:pStyle w:val="Compact"/>
              <w:jc w:val="left"/>
            </w:pPr>
            <w:r>
              <w:t xml:space="preserve">₹ 4,18,900</w:t>
            </w:r>
          </w:p>
        </w:tc>
        <w:tc>
          <w:tcPr/>
          <w:p>
            <w:pPr>
              <w:pStyle w:val="Compact"/>
              <w:jc w:val="left"/>
            </w:pPr>
            <w:r>
              <w:t xml:space="preserve">INR Four Lakh Eighteen Thousand Nine Hundred Only</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Beyond this period, all rates and availability of Judge personnel are subject to revision without prior notice.</w:t>
      </w:r>
    </w:p>
    <w:p>
      <w:pPr>
        <w:numPr>
          <w:ilvl w:val="0"/>
          <w:numId w:val="1001"/>
        </w:numPr>
        <w:pStyle w:val="Compact"/>
      </w:pPr>
      <w:r>
        <w:rPr>
          <w:bCs/>
          <w:b/>
        </w:rPr>
        <w:t xml:space="preserve">Payment Terms:</w:t>
      </w:r>
      <w:r>
        <w:t xml:space="preserve"> </w:t>
      </w:r>
      <w:r>
        <w:t xml:space="preserve">A non-refundable advance of fifty percent (50%) of the Grand Total shall be payable upon acceptance of this Quotation Estimate. The remaining fifty percent (50%) shall be due within seven (7) working days following the successful completion of the Judge engagement and delivery of the final report.</w:t>
      </w:r>
    </w:p>
    <w:p>
      <w:pPr>
        <w:numPr>
          <w:ilvl w:val="0"/>
          <w:numId w:val="1001"/>
        </w:numPr>
        <w:pStyle w:val="Compact"/>
      </w:pPr>
      <w:r>
        <w:rPr>
          <w:bCs/>
          <w:b/>
        </w:rPr>
        <w:t xml:space="preserve">Judge Availability:</w:t>
      </w:r>
      <w:r>
        <w:t xml:space="preserve"> </w:t>
      </w:r>
      <w:r>
        <w:t xml:space="preserve">The specific Judge professionals identified for this engagement are subject to prior confirmation. In the event a named Judge is unavailable, an equivalent or superior replacement shall be proposed to the Client for approval at no additional cost.</w:t>
      </w:r>
    </w:p>
    <w:p>
      <w:pPr>
        <w:numPr>
          <w:ilvl w:val="0"/>
          <w:numId w:val="1001"/>
        </w:numPr>
        <w:pStyle w:val="Compact"/>
      </w:pPr>
      <w:r>
        <w:rPr>
          <w:bCs/>
          <w:b/>
        </w:rPr>
        <w:t xml:space="preserve">Confidentiality:</w:t>
      </w:r>
      <w:r>
        <w:t xml:space="preserve"> </w:t>
      </w:r>
      <w:r>
        <w:t xml:space="preserve">All Judge personnel engaged under this Quotation Estimate shall be bound by a Non-Disclosure Agreement (NDA) in compliance with the Information Technology Act, 2000, and applicable data protection regulations of India.</w:t>
      </w:r>
    </w:p>
    <w:p>
      <w:pPr>
        <w:numPr>
          <w:ilvl w:val="0"/>
          <w:numId w:val="1001"/>
        </w:numPr>
        <w:pStyle w:val="Compact"/>
      </w:pPr>
      <w:r>
        <w:rPr>
          <w:bCs/>
          <w:b/>
        </w:rPr>
        <w:t xml:space="preserve">Jurisdiction:</w:t>
      </w:r>
      <w:r>
        <w:t xml:space="preserve"> </w:t>
      </w:r>
      <w:r>
        <w:t xml:space="preserve">This Quotation Estimate and any resulting contract shall be governed by and construed in accordance with the laws of India. Any disputes shall be subject to the exclusive jurisdiction of the competent courts in New Delhi, India.</w:t>
      </w:r>
    </w:p>
    <w:p>
      <w:pPr>
        <w:numPr>
          <w:ilvl w:val="0"/>
          <w:numId w:val="1001"/>
        </w:numPr>
        <w:pStyle w:val="Compact"/>
      </w:pPr>
      <w:r>
        <w:rPr>
          <w:bCs/>
          <w:b/>
        </w:rPr>
        <w:t xml:space="preserve">Revisions:</w:t>
      </w:r>
      <w:r>
        <w:t xml:space="preserve"> </w:t>
      </w:r>
      <w:r>
        <w:t xml:space="preserve">Any modification to the scope of Judge services, change in event duration, or addition of further Judge personnel shall be documented via a formal amendment to this Quotation Estimate, signed by both parties.</w:t>
      </w:r>
    </w:p>
    <w:p>
      <w:pPr>
        <w:numPr>
          <w:ilvl w:val="0"/>
          <w:numId w:val="1001"/>
        </w:numPr>
        <w:pStyle w:val="Compact"/>
      </w:pPr>
      <w:r>
        <w:rPr>
          <w:bCs/>
          <w:b/>
        </w:rPr>
        <w:t xml:space="preserve">Taxes and Duties:</w:t>
      </w:r>
      <w:r>
        <w:t xml:space="preserve"> </w:t>
      </w:r>
      <w:r>
        <w:t xml:space="preserve">All amounts are in Indian Rupees (INR). Applicable GST, TDS (Tax Deducted at Source) as per Section 194J of the Income Tax Act, 1961, and any other statutory deductions shall be borne as per Indian law.</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restrictions, or public health emergencies affecting New Delhi, India.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Judge services in New Delhi, India, and confirms acceptance of all terms, conditions, and pricing outlined herein. This signature constitutes a binding agreement for the services described.</w:t>
      </w:r>
    </w:p>
    <w:p>
      <w:pPr>
        <w:pStyle w:val="BodyText"/>
      </w:pPr>
      <w:r>
        <w:rPr>
          <w:bCs/>
          <w:b/>
        </w:rPr>
        <w:t xml:space="preserve">For Meridian Event Advisory Services Pvt. Ltd.</w:t>
      </w:r>
    </w:p>
    <w:p>
      <w:pPr>
        <w:pStyle w:val="BodyText"/>
      </w:pPr>
      <w:r>
        <w:t xml:space="preserve">Authorized Signatory</w:t>
      </w:r>
      <w:r>
        <w:br/>
      </w:r>
      <w:r>
        <w:t xml:space="preserve">Name: _______________________</w:t>
      </w:r>
      <w:r>
        <w:br/>
      </w:r>
      <w:r>
        <w:t xml:space="preserve">Designation: _______________________</w:t>
      </w:r>
      <w:r>
        <w:br/>
      </w:r>
      <w:r>
        <w:t xml:space="preserve">Date: _______________________</w:t>
      </w:r>
      <w:r>
        <w:br/>
      </w:r>
      <w:r>
        <w:t xml:space="preserve">Company Seal</w:t>
      </w:r>
    </w:p>
    <w:p>
      <w:pPr>
        <w:pStyle w:val="BodyText"/>
      </w:pPr>
      <w:r>
        <w:rPr>
          <w:bCs/>
          <w:b/>
        </w:rPr>
        <w:t xml:space="preserve">For the Client</w:t>
      </w:r>
    </w:p>
    <w:p>
      <w:pPr>
        <w:pStyle w:val="BodyText"/>
      </w:pPr>
      <w:r>
        <w:t xml:space="preserve">Authorized Signatory</w:t>
      </w:r>
      <w:r>
        <w:br/>
      </w:r>
      <w:r>
        <w:t xml:space="preserve">Name: _______________________</w:t>
      </w:r>
      <w:r>
        <w:br/>
      </w:r>
      <w:r>
        <w:t xml:space="preserve">Designation: _______________________</w:t>
      </w:r>
      <w:r>
        <w:br/>
      </w:r>
      <w:r>
        <w:t xml:space="preserve">Date: _______________________</w:t>
      </w:r>
      <w:r>
        <w:br/>
      </w:r>
      <w:r>
        <w:t xml:space="preserve">Organization Seal</w:t>
      </w:r>
    </w:p>
    <w:p>
      <w:pPr>
        <w:pStyle w:val="BodyText"/>
      </w:pPr>
      <w:r>
        <w:t xml:space="preserve">Meridian Event Advisory Services Pvt. Ltd. | CIN: U74999DL2018PTC345678 | GSTIN: 07AABCM1234F1Z5</w:t>
      </w:r>
      <w:r>
        <w:br/>
      </w:r>
      <w:r>
        <w:t xml:space="preserve">Suite 412, Connaught Place, New Delhi – 110001, India | +91-11-4567-8900 | quotation@meridianevents.in</w:t>
      </w:r>
      <w:r>
        <w:br/>
      </w:r>
      <w:r>
        <w:t xml:space="preserve">This Quotation Estimate is a confidential commercial document intended solely for the named recipient. Unauthorized reproduction or distribution is prohibited under Indian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New Delhi, India</dc:title>
  <dc:creator/>
  <dc:language>en</dc:language>
  <cp:keywords/>
  <dcterms:created xsi:type="dcterms:W3CDTF">2026-10-10T10:21:01Z</dcterms:created>
  <dcterms:modified xsi:type="dcterms:W3CDTF">2026-10-10T10:21:01Z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