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Iran</w:t>
      </w:r>
      <w:r>
        <w:t xml:space="preserve"> </w:t>
      </w:r>
      <w:r>
        <w:t xml:space="preserve">Tehran</w:t>
      </w:r>
    </w:p>
    <w:bookmarkStart w:id="20" w:name="meridian-judicial-solutions-ltd."/>
    <w:p>
      <w:pPr>
        <w:pStyle w:val="Heading1"/>
      </w:pPr>
      <w:r>
        <w:t xml:space="preserve">Meridian Judicial Solutions Ltd.</w:t>
      </w:r>
    </w:p>
    <w:p>
      <w:pPr>
        <w:pStyle w:val="FirstParagraph"/>
      </w:pPr>
      <w:r>
        <w:t xml:space="preserve">1200 Commerce Avenue, Suite 450, Dubai, UAE | Tel: +971-4-555-0192 | Email: quotations@meridianjudicial.com</w:t>
      </w:r>
    </w:p>
    <w:p>
      <w:pPr>
        <w:pStyle w:val="BodyText"/>
      </w:pPr>
      <w:r>
        <w:t xml:space="preserve">Commercial Registration No. 1048293 | VAT No. 100482930000003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QTE-2025-IR-0487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Project Reference:</w:t>
      </w:r>
      <w:r>
        <w:t xml:space="preserve"> </w:t>
      </w:r>
      <w:r>
        <w:t xml:space="preserve">Judge System Deployment – Tehran</w:t>
      </w:r>
    </w:p>
    <w:p>
      <w:pPr>
        <w:pStyle w:val="BodyText"/>
      </w:pPr>
      <w:r>
        <w:rPr>
          <w:bCs/>
          <w:b/>
        </w:rPr>
        <w:t xml:space="preserve">Prepared By:</w:t>
      </w:r>
      <w:r>
        <w:t xml:space="preserve"> </w:t>
      </w:r>
      <w:r>
        <w:t xml:space="preserve">A. Rahimi, Senior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Provincial Judicial Administration Office</w:t>
      </w:r>
    </w:p>
    <w:p>
      <w:pPr>
        <w:pStyle w:val="BodyText"/>
      </w:pPr>
      <w:r>
        <w:rPr>
          <w:bCs/>
          <w:b/>
        </w:rPr>
        <w:t xml:space="preserve">Address:</w:t>
      </w:r>
      <w:r>
        <w:t xml:space="preserve"> </w:t>
      </w:r>
      <w:r>
        <w:t xml:space="preserve">45 Vali-e Asr Street, District 1, Tehran, Iran</w:t>
      </w:r>
    </w:p>
    <w:p>
      <w:pPr>
        <w:pStyle w:val="BodyText"/>
      </w:pPr>
      <w:r>
        <w:rPr>
          <w:bCs/>
          <w:b/>
        </w:rPr>
        <w:t xml:space="preserve">Contact Person:</w:t>
      </w:r>
      <w:r>
        <w:t xml:space="preserve"> </w:t>
      </w:r>
      <w:r>
        <w:t xml:space="preserve">Dr. S. Mohammadi, Director of IT Infrastructure</w:t>
      </w:r>
    </w:p>
    <w:p>
      <w:pPr>
        <w:pStyle w:val="BodyText"/>
      </w:pPr>
      <w:r>
        <w:rPr>
          <w:bCs/>
          <w:b/>
        </w:rPr>
        <w:t xml:space="preserve">Email:</w:t>
      </w:r>
      <w:r>
        <w:t xml:space="preserve"> </w:t>
      </w:r>
      <w:r>
        <w:t xml:space="preserve">it.dept@tehranjudiciary.ir</w:t>
      </w:r>
    </w:p>
    <w:p>
      <w:pPr>
        <w:pStyle w:val="BodyText"/>
      </w:pPr>
      <w:r>
        <w:rPr>
          <w:bCs/>
          <w:b/>
        </w:rPr>
        <w:t xml:space="preserve">Phone:</w:t>
      </w:r>
      <w:r>
        <w:t xml:space="preserve"> </w:t>
      </w:r>
      <w:r>
        <w:t xml:space="preserve">+98-21-8876-5432</w:t>
      </w:r>
    </w:p>
    <w:bookmarkEnd w:id="22"/>
    <w:p>
      <w:pPr>
        <w:pStyle w:val="BodyText"/>
      </w:pPr>
      <w:r>
        <w:t xml:space="preserve">Dear Dr. Mohammadi,</w:t>
      </w:r>
    </w:p>
    <w:p>
      <w:pPr>
        <w:pStyle w:val="BodyText"/>
      </w:pPr>
      <w:r>
        <w:t xml:space="preserve">Thank you for your request for a formal Quotation Estimate regarding the supply, installation, and commissioning of the</w:t>
      </w:r>
      <w:r>
        <w:t xml:space="preserve"> </w:t>
      </w:r>
      <w:r>
        <w:rPr>
          <w:bCs/>
          <w:b/>
        </w:rPr>
        <w:t xml:space="preserve">Judge</w:t>
      </w:r>
      <w:r>
        <w:t xml:space="preserve"> </w:t>
      </w:r>
      <w:r>
        <w:t xml:space="preserve">integrated decision-support and case-management system for the Provincial Judicial Administration Office located in</w:t>
      </w:r>
      <w:r>
        <w:t xml:space="preserve"> </w:t>
      </w:r>
      <w:r>
        <w:rPr>
          <w:bCs/>
          <w:b/>
        </w:rPr>
        <w:t xml:space="preserve">Iran, Tehran</w:t>
      </w:r>
      <w:r>
        <w:t xml:space="preserve">. This Quotation Estimate has been prepared in full compliance with the technical specifications outlined in your Request for Proposal (RFP No. TJ-2025-112) and reflects the most competitive pricing available for the deployment of the Judge platform within the Tehran metropolitan judicial network.</w:t>
      </w:r>
    </w:p>
    <w:bookmarkStart w:id="23" w:name="X5c03742c204f908caeb18311a9ecb619de3c052"/>
    <w:p>
      <w:pPr>
        <w:pStyle w:val="Heading3"/>
      </w:pPr>
      <w:r>
        <w:t xml:space="preserve">Scope of Work – Judge System for Iran Tehran</w:t>
      </w:r>
    </w:p>
    <w:p>
      <w:pPr>
        <w:pStyle w:val="FirstParagraph"/>
      </w:pPr>
      <w:r>
        <w:t xml:space="preserve">The Judge system is a comprehensive digital adjudication platform designed to streamline case processing, evidence management, sentencing recommendation analytics, and inter-court communication. This Quotation Estimate covers the full lifecycle of the Judge deployment in Tehran, including hardware procurement, software licensing, on-site installation at the Tehran headquarters and three satellite district offices, staff training, and a 24-month post-deployment support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Judge Core Platform – Enterprise License (perpetual, 500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Tehran HQ, District 1</w:t>
            </w:r>
          </w:p>
        </w:tc>
      </w:tr>
      <w:tr>
        <w:tc>
          <w:tcPr/>
          <w:p>
            <w:pPr>
              <w:pStyle w:val="Compact"/>
              <w:jc w:val="left"/>
            </w:pPr>
            <w:r>
              <w:t xml:space="preserve">2</w:t>
            </w:r>
          </w:p>
        </w:tc>
        <w:tc>
          <w:tcPr/>
          <w:p>
            <w:pPr>
              <w:pStyle w:val="Compact"/>
              <w:jc w:val="left"/>
            </w:pPr>
            <w:r>
              <w:t xml:space="preserve">Judge Case-Management Module (evidence upload, chain-of-custody tracking)</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c>
          <w:tcPr/>
          <w:p>
            <w:pPr>
              <w:pStyle w:val="Compact"/>
              <w:jc w:val="left"/>
            </w:pPr>
            <w:r>
              <w:t xml:space="preserve">Tehran HQ, District 1</w:t>
            </w:r>
          </w:p>
        </w:tc>
      </w:tr>
      <w:tr>
        <w:tc>
          <w:tcPr/>
          <w:p>
            <w:pPr>
              <w:pStyle w:val="Compact"/>
              <w:jc w:val="left"/>
            </w:pPr>
            <w:r>
              <w:t xml:space="preserve">3</w:t>
            </w:r>
          </w:p>
        </w:tc>
        <w:tc>
          <w:tcPr/>
          <w:p>
            <w:pPr>
              <w:pStyle w:val="Compact"/>
              <w:jc w:val="left"/>
            </w:pPr>
            <w:r>
              <w:t xml:space="preserve">Judge Sentencing Analytics &amp; Precedent Search Engine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Tehran HQ, District 1</w:t>
            </w:r>
          </w:p>
        </w:tc>
      </w:tr>
      <w:tr>
        <w:tc>
          <w:tcPr/>
          <w:p>
            <w:pPr>
              <w:pStyle w:val="Compact"/>
              <w:jc w:val="left"/>
            </w:pPr>
            <w:r>
              <w:t xml:space="preserve">4</w:t>
            </w:r>
          </w:p>
        </w:tc>
        <w:tc>
          <w:tcPr/>
          <w:p>
            <w:pPr>
              <w:pStyle w:val="Compact"/>
              <w:jc w:val="left"/>
            </w:pPr>
            <w:r>
              <w:t xml:space="preserve">Judge Inter-Court Communication Gateway (FIPS 140-2 compliant)</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c>
          <w:tcPr/>
          <w:p>
            <w:pPr>
              <w:pStyle w:val="Compact"/>
              <w:jc w:val="left"/>
            </w:pPr>
            <w:r>
              <w:t xml:space="preserve">Tehran HQ + 3 District Offices</w:t>
            </w:r>
          </w:p>
        </w:tc>
      </w:tr>
      <w:tr>
        <w:tc>
          <w:tcPr/>
          <w:p>
            <w:pPr>
              <w:pStyle w:val="Compact"/>
              <w:jc w:val="left"/>
            </w:pPr>
            <w:r>
              <w:t xml:space="preserve">5</w:t>
            </w:r>
          </w:p>
        </w:tc>
        <w:tc>
          <w:tcPr/>
          <w:p>
            <w:pPr>
              <w:pStyle w:val="Compact"/>
              <w:jc w:val="left"/>
            </w:pPr>
            <w:r>
              <w:t xml:space="preserve">Server Hardware – Dell PowerEdge R760 (256 GB RAM, 8 TB NVMe, dual Xeon)</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c>
          <w:tcPr/>
          <w:p>
            <w:pPr>
              <w:pStyle w:val="Compact"/>
              <w:jc w:val="left"/>
            </w:pPr>
            <w:r>
              <w:t xml:space="preserve">Tehran HQ Data Center</w:t>
            </w:r>
          </w:p>
        </w:tc>
      </w:tr>
      <w:tr>
        <w:tc>
          <w:tcPr/>
          <w:p>
            <w:pPr>
              <w:pStyle w:val="Compact"/>
              <w:jc w:val="left"/>
            </w:pPr>
            <w:r>
              <w:t xml:space="preserve">6</w:t>
            </w:r>
          </w:p>
        </w:tc>
        <w:tc>
          <w:tcPr/>
          <w:p>
            <w:pPr>
              <w:pStyle w:val="Compact"/>
              <w:jc w:val="left"/>
            </w:pPr>
            <w:r>
              <w:t xml:space="preserve">Network Switches – Cisco Catalyst 9300 48-port PoE+</w:t>
            </w:r>
          </w:p>
        </w:tc>
        <w:tc>
          <w:tcPr/>
          <w:p>
            <w:pPr>
              <w:pStyle w:val="Compact"/>
              <w:jc w:val="left"/>
            </w:pPr>
            <w:r>
              <w:t xml:space="preserve">8</w:t>
            </w:r>
          </w:p>
        </w:tc>
        <w:tc>
          <w:tcPr/>
          <w:p>
            <w:pPr>
              <w:pStyle w:val="Compact"/>
              <w:jc w:val="left"/>
            </w:pPr>
            <w:r>
              <w:t xml:space="preserve">$4,150.00</w:t>
            </w:r>
          </w:p>
        </w:tc>
        <w:tc>
          <w:tcPr/>
          <w:p>
            <w:pPr>
              <w:pStyle w:val="Compact"/>
              <w:jc w:val="left"/>
            </w:pPr>
            <w:r>
              <w:t xml:space="preserve">$33,200.00</w:t>
            </w:r>
          </w:p>
        </w:tc>
        <w:tc>
          <w:tcPr/>
          <w:p>
            <w:pPr>
              <w:pStyle w:val="Compact"/>
              <w:jc w:val="left"/>
            </w:pPr>
            <w:r>
              <w:t xml:space="preserve">Tehran HQ + District Offices</w:t>
            </w:r>
          </w:p>
        </w:tc>
      </w:tr>
      <w:tr>
        <w:tc>
          <w:tcPr/>
          <w:p>
            <w:pPr>
              <w:pStyle w:val="Compact"/>
              <w:jc w:val="left"/>
            </w:pPr>
            <w:r>
              <w:t xml:space="preserve">7</w:t>
            </w:r>
          </w:p>
        </w:tc>
        <w:tc>
          <w:tcPr/>
          <w:p>
            <w:pPr>
              <w:pStyle w:val="Compact"/>
              <w:jc w:val="left"/>
            </w:pPr>
            <w:r>
              <w:t xml:space="preserve">Workstations – Dell OptiPlex 7010 (i7, 32 GB, 1 TB SSD, 24" monitor)</w:t>
            </w:r>
          </w:p>
        </w:tc>
        <w:tc>
          <w:tcPr/>
          <w:p>
            <w:pPr>
              <w:pStyle w:val="Compact"/>
              <w:jc w:val="left"/>
            </w:pPr>
            <w:r>
              <w:t xml:space="preserve">120</w:t>
            </w:r>
          </w:p>
        </w:tc>
        <w:tc>
          <w:tcPr/>
          <w:p>
            <w:pPr>
              <w:pStyle w:val="Compact"/>
              <w:jc w:val="left"/>
            </w:pPr>
            <w:r>
              <w:t xml:space="preserve">$1,450.00</w:t>
            </w:r>
          </w:p>
        </w:tc>
        <w:tc>
          <w:tcPr/>
          <w:p>
            <w:pPr>
              <w:pStyle w:val="Compact"/>
              <w:jc w:val="left"/>
            </w:pPr>
            <w:r>
              <w:t xml:space="preserve">$174,000.00</w:t>
            </w:r>
          </w:p>
        </w:tc>
        <w:tc>
          <w:tcPr/>
          <w:p>
            <w:pPr>
              <w:pStyle w:val="Compact"/>
              <w:jc w:val="left"/>
            </w:pPr>
            <w:r>
              <w:t xml:space="preserve">Tehran HQ + District Offices</w:t>
            </w:r>
          </w:p>
        </w:tc>
      </w:tr>
      <w:tr>
        <w:tc>
          <w:tcPr/>
          <w:p>
            <w:pPr>
              <w:pStyle w:val="Compact"/>
              <w:jc w:val="left"/>
            </w:pPr>
            <w:r>
              <w:t xml:space="preserve">8</w:t>
            </w:r>
          </w:p>
        </w:tc>
        <w:tc>
          <w:tcPr/>
          <w:p>
            <w:pPr>
              <w:pStyle w:val="Compact"/>
              <w:jc w:val="left"/>
            </w:pPr>
            <w:r>
              <w:t xml:space="preserve">On-Site Installation, Configuration &amp; Integration Services (Tehran)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All Tehran locations</w:t>
            </w:r>
          </w:p>
        </w:tc>
      </w:tr>
      <w:tr>
        <w:tc>
          <w:tcPr/>
          <w:p>
            <w:pPr>
              <w:pStyle w:val="Compact"/>
              <w:jc w:val="left"/>
            </w:pPr>
            <w:r>
              <w:t xml:space="preserve">9</w:t>
            </w:r>
          </w:p>
        </w:tc>
        <w:tc>
          <w:tcPr/>
          <w:p>
            <w:pPr>
              <w:pStyle w:val="Compact"/>
              <w:jc w:val="left"/>
            </w:pPr>
            <w:r>
              <w:t xml:space="preserve">Staff Training Program – 5-day intensive Judge system training (2 sessions, 60 participants)</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Tehran Training Center</w:t>
            </w:r>
          </w:p>
        </w:tc>
      </w:tr>
      <w:tr>
        <w:tc>
          <w:tcPr/>
          <w:p>
            <w:pPr>
              <w:pStyle w:val="Compact"/>
              <w:jc w:val="left"/>
            </w:pPr>
            <w:r>
              <w:t xml:space="preserve">10</w:t>
            </w:r>
          </w:p>
        </w:tc>
        <w:tc>
          <w:tcPr/>
          <w:p>
            <w:pPr>
              <w:pStyle w:val="Compact"/>
              <w:jc w:val="left"/>
            </w:pPr>
            <w:r>
              <w:t xml:space="preserve">24-Month Post-Deployment Support &amp; Maintenance (7×24, on-site in Tehran)</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Tehran, Iran</w:t>
            </w:r>
          </w:p>
        </w:tc>
      </w:tr>
      <w:tr>
        <w:tc>
          <w:tcPr/>
          <w:p>
            <w:pPr>
              <w:pStyle w:val="Compact"/>
              <w:jc w:val="left"/>
            </w:pPr>
            <w:r>
              <w:t xml:space="preserve">11</w:t>
            </w:r>
          </w:p>
        </w:tc>
        <w:tc>
          <w:tcPr/>
          <w:p>
            <w:pPr>
              <w:pStyle w:val="Compact"/>
              <w:jc w:val="left"/>
            </w:pPr>
            <w:r>
              <w:t xml:space="preserve">Custom Persian (Farsi) Language Localization &amp; RTL Interface Adaptation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Tehran HQ</w:t>
            </w:r>
          </w:p>
        </w:tc>
      </w:tr>
      <w:tr>
        <w:tc>
          <w:tcPr/>
          <w:p>
            <w:pPr>
              <w:pStyle w:val="Compact"/>
              <w:jc w:val="left"/>
            </w:pPr>
            <w:r>
              <w:t xml:space="preserve">12</w:t>
            </w:r>
          </w:p>
        </w:tc>
        <w:tc>
          <w:tcPr/>
          <w:p>
            <w:pPr>
              <w:pStyle w:val="Compact"/>
              <w:jc w:val="left"/>
            </w:pPr>
            <w:r>
              <w:t xml:space="preserve">Shipping, Customs Clearance &amp; Insurance to Iran, Tehran</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c>
          <w:tcPr/>
          <w:p>
            <w:pPr>
              <w:pStyle w:val="Compact"/>
              <w:jc w:val="left"/>
            </w:pPr>
            <w:r>
              <w:t xml:space="preserve">Imam Khomeini Int'l Airport, Tehran</w:t>
            </w:r>
          </w:p>
        </w:tc>
      </w:tr>
    </w:tbl>
    <w:p>
      <w:pPr>
        <w:pStyle w:val="BodyText"/>
      </w:pPr>
      <w:r>
        <w:rPr>
          <w:bCs/>
          <w:b/>
        </w:rPr>
        <w:t xml:space="preserve">Subtotal:</w:t>
      </w:r>
      <w:r>
        <w:t xml:space="preserve"> </w:t>
      </w:r>
      <w:r>
        <w:t xml:space="preserve">$700,900.00 USD</w:t>
      </w:r>
    </w:p>
    <w:p>
      <w:pPr>
        <w:pStyle w:val="BodyText"/>
      </w:pPr>
      <w:r>
        <w:rPr>
          <w:bCs/>
          <w:b/>
        </w:rPr>
        <w:t xml:space="preserve">Applicable Tax / Duty (estimated for Iran import):</w:t>
      </w:r>
      <w:r>
        <w:t xml:space="preserve"> </w:t>
      </w:r>
      <w:r>
        <w:t xml:space="preserve">$35,045.00 USD</w:t>
      </w:r>
    </w:p>
    <w:p>
      <w:pPr>
        <w:pStyle w:val="BodyText"/>
      </w:pPr>
      <w:r>
        <w:rPr>
          <w:bCs/>
          <w:b/>
        </w:rPr>
        <w:t xml:space="preserve">Discount (volume &amp; long-term partnership):</w:t>
      </w:r>
      <w:r>
        <w:t xml:space="preserve"> </w:t>
      </w:r>
      <w:r>
        <w:t xml:space="preserve">–$21,027.00 USD</w:t>
      </w:r>
    </w:p>
    <w:p>
      <w:pPr>
        <w:pStyle w:val="BodyText"/>
      </w:pPr>
      <w:r>
        <w:rPr>
          <w:bCs/>
          <w:b/>
        </w:rPr>
        <w:t xml:space="preserve">Grand Total: $714,918.00 USD</w:t>
      </w:r>
    </w:p>
    <w:p>
      <w:pPr>
        <w:pStyle w:val="BodyText"/>
      </w:pPr>
      <w:r>
        <w:t xml:space="preserve">(Equivalent to approximately 3,115,147,800 IRR at the prevailing Central Bank of Iran rate on the date of issue)</w:t>
      </w:r>
    </w:p>
    <w:bookmarkEnd w:id="23"/>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ninety (90) calendar days from the date of issue. Pricing is subject to revision upon expiry due to currency fluctuation between USD and IRR.</w:t>
      </w:r>
    </w:p>
    <w:p>
      <w:pPr>
        <w:numPr>
          <w:ilvl w:val="0"/>
          <w:numId w:val="1001"/>
        </w:numPr>
        <w:pStyle w:val="Compact"/>
      </w:pPr>
      <w:r>
        <w:t xml:space="preserve">Payment terms: 30% advance upon acceptance of this Quotation Estimate, 40% upon delivery of hardware and software to Tehran, and 30% upon successful commissioning and sign-off of the Judge system at all Tehran locations.</w:t>
      </w:r>
    </w:p>
    <w:p>
      <w:pPr>
        <w:numPr>
          <w:ilvl w:val="0"/>
          <w:numId w:val="1001"/>
        </w:numPr>
        <w:pStyle w:val="Compact"/>
      </w:pPr>
      <w:r>
        <w:t xml:space="preserve">All hardware and software components of the Judge platform are warranted for a minimum of twenty-four (24) months from the date of final acceptance in Tehran, Iran.</w:t>
      </w:r>
    </w:p>
    <w:p>
      <w:pPr>
        <w:numPr>
          <w:ilvl w:val="0"/>
          <w:numId w:val="1001"/>
        </w:numPr>
        <w:pStyle w:val="Compact"/>
      </w:pPr>
      <w:r>
        <w:t xml:space="preserve">Delivery to Iran, Tehran shall be arranged via air freight through Imam Khomeini International Airport. All export licenses, customs documentation, and Iranian import permits shall be coordinated by Meridian Judicial Solutions in liaison with the client's designated customs agent in Tehran.</w:t>
      </w:r>
    </w:p>
    <w:p>
      <w:pPr>
        <w:numPr>
          <w:ilvl w:val="0"/>
          <w:numId w:val="1001"/>
        </w:numPr>
        <w:pStyle w:val="Compact"/>
      </w:pPr>
      <w:r>
        <w:t xml:space="preserve">The Judge system shall be fully localized in Persian (Farsi) with right-to-left (RTL) interface support, in compliance with the National Information Technology Authority of Iran (NITA) standards.</w:t>
      </w:r>
    </w:p>
    <w:p>
      <w:pPr>
        <w:numPr>
          <w:ilvl w:val="0"/>
          <w:numId w:val="1001"/>
        </w:numPr>
        <w:pStyle w:val="Compact"/>
      </w:pPr>
      <w:r>
        <w:t xml:space="preserve">Intellectual property rights to the Judge platform remain with Meridian Judicial Solutions Ltd. The client in Tehran receives a perpetual, non-transferable license for internal judicial use within the Province of Tehran.</w:t>
      </w:r>
    </w:p>
    <w:p>
      <w:pPr>
        <w:numPr>
          <w:ilvl w:val="0"/>
          <w:numId w:val="1001"/>
        </w:numPr>
        <w:pStyle w:val="Compact"/>
      </w:pPr>
      <w:r>
        <w:t xml:space="preserve">Any changes to the scope of work, additional user licenses, or expansion of the Judge system to other Iranian cities beyond Tehran shall be subject to a separate amendment to this Quotation Estimate.</w:t>
      </w:r>
    </w:p>
    <w:p>
      <w:pPr>
        <w:numPr>
          <w:ilvl w:val="0"/>
          <w:numId w:val="1001"/>
        </w:numPr>
        <w:pStyle w:val="Compact"/>
      </w:pPr>
      <w:r>
        <w:t xml:space="preserve">This Quotation Estimate is governed by the laws of the United Arab Emirates. Any disputes shall be resolved through arbitration under the rules of the Dubai International Arbitration Centre (DIAC).</w:t>
      </w:r>
    </w:p>
    <w:p>
      <w:pPr>
        <w:numPr>
          <w:ilvl w:val="0"/>
          <w:numId w:val="1001"/>
        </w:numPr>
        <w:pStyle w:val="Compact"/>
      </w:pPr>
      <w:r>
        <w:t xml:space="preserve">Force majeure events, including but not limited to sanctions-related shipping delays affecting delivery to Iran, Tehran, shall extend the delivery timeline on a day-for-day basis without penalty to either party.</w:t>
      </w:r>
    </w:p>
    <w:bookmarkEnd w:id="24"/>
    <w:p>
      <w:pPr>
        <w:pStyle w:val="FirstParagraph"/>
      </w:pPr>
      <w:r>
        <w:rPr>
          <w:bCs/>
          <w:b/>
        </w:rPr>
        <w:t xml:space="preserve">For and on behalf of Meridian Judicial Solutions Ltd.</w:t>
      </w:r>
    </w:p>
    <w:p>
      <w:pPr>
        <w:pStyle w:val="BodyText"/>
      </w:pPr>
      <w:r>
        <w:t xml:space="preserve">Name: A. Rahimi</w:t>
      </w:r>
    </w:p>
    <w:p>
      <w:pPr>
        <w:pStyle w:val="BodyText"/>
      </w:pPr>
      <w:r>
        <w:t xml:space="preserve">Title: Senior Account Manager</w:t>
      </w:r>
    </w:p>
    <w:p>
      <w:pPr>
        <w:pStyle w:val="BodyText"/>
      </w:pPr>
      <w:r>
        <w:t xml:space="preserve">Date: _______________</w:t>
      </w:r>
    </w:p>
    <w:p>
      <w:pPr>
        <w:pStyle w:val="BodyText"/>
      </w:pPr>
      <w:r>
        <w:t xml:space="preserve">Signature: _______________</w:t>
      </w:r>
    </w:p>
    <w:p>
      <w:pPr>
        <w:pStyle w:val="BodyText"/>
      </w:pPr>
      <w:r>
        <w:rPr>
          <w:bCs/>
          <w:b/>
        </w:rPr>
        <w:t xml:space="preserve">Accepted by the Client – Tehran, Iran</w:t>
      </w:r>
    </w:p>
    <w:p>
      <w:pPr>
        <w:pStyle w:val="BodyText"/>
      </w:pPr>
      <w:r>
        <w:t xml:space="preserve">Name: Dr. S. Mohammadi</w:t>
      </w:r>
    </w:p>
    <w:p>
      <w:pPr>
        <w:pStyle w:val="BodyText"/>
      </w:pPr>
      <w:r>
        <w:t xml:space="preserve">Title: Director of IT Infrastructure</w:t>
      </w:r>
    </w:p>
    <w:p>
      <w:pPr>
        <w:pStyle w:val="BodyText"/>
      </w:pPr>
      <w:r>
        <w:t xml:space="preserve">Date: _______________</w:t>
      </w:r>
    </w:p>
    <w:p>
      <w:pPr>
        <w:pStyle w:val="BodyText"/>
      </w:pPr>
      <w:r>
        <w:t xml:space="preserve">Signature: _______________</w:t>
      </w:r>
    </w:p>
    <w:p>
      <w:pPr>
        <w:pStyle w:val="BodyText"/>
      </w:pPr>
      <w:r>
        <w:t xml:space="preserve">Quotation Estimate No. QTE-2025-IR-0487 | Judge System Deployment – Iran, Tehran | Page 1 of 1</w:t>
      </w:r>
    </w:p>
    <w:p>
      <w:pPr>
        <w:pStyle w:val="BodyText"/>
      </w:pPr>
      <w:r>
        <w:t xml:space="preserve">Meridian Judicial Solutions Ltd. – 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Iran Tehran</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