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Judge Services — Morocco Casablanca</w:t>
      </w:r>
    </w:p>
    <w:p>
      <w:pPr>
        <w:pStyle w:val="BodyText"/>
      </w:pPr>
      <w:r>
        <w:t xml:space="preserve">Document Reference: QE-CAS-2025-0047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Moroccan Dirham (MAD)</w:t>
      </w:r>
    </w:p>
    <w:p>
      <w:pPr>
        <w:pStyle w:val="BodyText"/>
      </w:pPr>
      <w:r>
        <w:rPr>
          <w:bCs/>
          <w:b/>
        </w:rPr>
        <w:t xml:space="preserve">Prepared For:</w:t>
      </w:r>
      <w:r>
        <w:t xml:space="preserve"> </w:t>
      </w:r>
      <w:r>
        <w:t xml:space="preserve">Client Organization</w:t>
      </w:r>
      <w:r>
        <w:br/>
      </w:r>
      <w:r>
        <w:rPr>
          <w:bCs/>
          <w:b/>
        </w:rPr>
        <w:t xml:space="preserve">Location of Service:</w:t>
      </w:r>
      <w:r>
        <w:t xml:space="preserve"> </w:t>
      </w:r>
      <w:r>
        <w:t xml:space="preserve">Casablanca, Morocco</w:t>
      </w:r>
      <w:r>
        <w:br/>
      </w:r>
      <w:r>
        <w:rPr>
          <w:bCs/>
          <w:b/>
        </w:rPr>
        <w:t xml:space="preserve">Prepared By:</w:t>
      </w:r>
      <w:r>
        <w:t xml:space="preserve"> </w:t>
      </w:r>
      <w:r>
        <w:t xml:space="preserve">Atlas Judicial Consulting SARL</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Atlas Judicial Consulting SARL, a registered professional services firm headquartered in Casablanca, Morocco, to provide a comprehensive and itemized cost breakdown for the engagement of qualified</w:t>
      </w:r>
      <w:r>
        <w:t xml:space="preserve"> </w:t>
      </w:r>
      <w:r>
        <w:t xml:space="preserve">Judge</w:t>
      </w:r>
      <w:r>
        <w:t xml:space="preserve"> </w:t>
      </w:r>
      <w:r>
        <w:t xml:space="preserve">professionals for the client's upcoming proceedings. The services described herein are to be rendered exclusively within the jurisdiction of</w:t>
      </w:r>
      <w:r>
        <w:t xml:space="preserve"> </w:t>
      </w:r>
      <w:r>
        <w:t xml:space="preserve">Morocco Casablanca</w:t>
      </w:r>
      <w:r>
        <w:t xml:space="preserve">, in full compliance with the Moroccan Code of Civil Procedure, the Moroccan Code of Commercial Procedure, and all applicable regulations issued by the Ministry of Justice of the Kingdom of Morocco.</w:t>
      </w:r>
    </w:p>
    <w:p>
      <w:pPr>
        <w:pStyle w:val="BodyText"/>
      </w:pPr>
      <w:r>
        <w:t xml:space="preserve">The scope of this</w:t>
      </w:r>
      <w:r>
        <w:t xml:space="preserve"> </w:t>
      </w:r>
      <w:r>
        <w:t xml:space="preserve">Quotation Estimate</w:t>
      </w:r>
      <w:r>
        <w:t xml:space="preserve"> </w:t>
      </w:r>
      <w:r>
        <w:t xml:space="preserve">covers the provision of one (1) senior</w:t>
      </w:r>
      <w:r>
        <w:t xml:space="preserve"> </w:t>
      </w:r>
      <w:r>
        <w:t xml:space="preserve">Judge</w:t>
      </w:r>
      <w:r>
        <w:t xml:space="preserve"> </w:t>
      </w:r>
      <w:r>
        <w:t xml:space="preserve">(arbitrator or panel chair) and two (2) associate</w:t>
      </w:r>
      <w:r>
        <w:t xml:space="preserve"> </w:t>
      </w:r>
      <w:r>
        <w:t xml:space="preserve">Judge</w:t>
      </w:r>
      <w:r>
        <w:t xml:space="preserve"> </w:t>
      </w:r>
      <w:r>
        <w:t xml:space="preserve">members for a three-day adjudication session scheduled to take place at the designated venue in the Casablanca business district. All</w:t>
      </w:r>
      <w:r>
        <w:t xml:space="preserve"> </w:t>
      </w:r>
      <w:r>
        <w:t xml:space="preserve">Judge</w:t>
      </w:r>
      <w:r>
        <w:t xml:space="preserve"> </w:t>
      </w:r>
      <w:r>
        <w:t xml:space="preserve">personnel engaged under this estimate hold valid certifications issued by the Moroccan National School of Magistrates (École Nationale de la Magistrature) and possess a minimum of fifteen (15) years of experience in commercial and civil adjudication within the</w:t>
      </w:r>
      <w:r>
        <w:t xml:space="preserve"> </w:t>
      </w:r>
      <w:r>
        <w:t xml:space="preserve">Morocco Casablanca</w:t>
      </w:r>
      <w:r>
        <w:t xml:space="preserve"> </w:t>
      </w:r>
      <w:r>
        <w:t xml:space="preserve">judicial circuit.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Judge Service</w:t>
            </w:r>
          </w:p>
        </w:tc>
        <w:tc>
          <w:tcPr/>
          <w:p>
            <w:pPr>
              <w:pStyle w:val="Compact"/>
              <w:jc w:val="left"/>
            </w:pPr>
            <w:r>
              <w:t xml:space="preserve">Duration</w:t>
            </w:r>
          </w:p>
        </w:tc>
        <w:tc>
          <w:tcPr/>
          <w:p>
            <w:pPr>
              <w:pStyle w:val="Compact"/>
              <w:jc w:val="left"/>
            </w:pPr>
            <w:r>
              <w:t xml:space="preserve">Unit Rate (MAD)</w:t>
            </w:r>
          </w:p>
        </w:tc>
        <w:tc>
          <w:tcPr/>
          <w:p>
            <w:pPr>
              <w:pStyle w:val="Compact"/>
              <w:jc w:val="left"/>
            </w:pPr>
            <w:r>
              <w:t xml:space="preserve">Quantity</w:t>
            </w:r>
          </w:p>
        </w:tc>
        <w:tc>
          <w:tcPr/>
          <w:p>
            <w:pPr>
              <w:pStyle w:val="Compact"/>
              <w:jc w:val="left"/>
            </w:pPr>
            <w:r>
              <w:t xml:space="preserve">Subtotal (MAD)</w:t>
            </w:r>
          </w:p>
        </w:tc>
      </w:tr>
      <w:tr>
        <w:tc>
          <w:tcPr/>
          <w:p>
            <w:pPr>
              <w:pStyle w:val="Compact"/>
              <w:jc w:val="left"/>
            </w:pPr>
            <w:r>
              <w:t xml:space="preserve">01</w:t>
            </w:r>
          </w:p>
        </w:tc>
        <w:tc>
          <w:tcPr/>
          <w:p>
            <w:pPr>
              <w:pStyle w:val="Compact"/>
              <w:jc w:val="left"/>
            </w:pPr>
            <w:r>
              <w:t xml:space="preserve">Senior Judge (Panel Chair) — Full adjudication session, including pre-hearing review of case files, oral arguments, and deliberation</w:t>
            </w:r>
          </w:p>
        </w:tc>
        <w:tc>
          <w:tcPr/>
          <w:p>
            <w:pPr>
              <w:pStyle w:val="Compact"/>
              <w:jc w:val="left"/>
            </w:pPr>
            <w:r>
              <w:t xml:space="preserve">3 days</w:t>
            </w:r>
          </w:p>
        </w:tc>
        <w:tc>
          <w:tcPr/>
          <w:p>
            <w:pPr>
              <w:pStyle w:val="Compact"/>
              <w:jc w:val="left"/>
            </w:pPr>
            <w:r>
              <w:t xml:space="preserve">12,500</w:t>
            </w:r>
          </w:p>
        </w:tc>
        <w:tc>
          <w:tcPr/>
          <w:p>
            <w:pPr>
              <w:pStyle w:val="Compact"/>
              <w:jc w:val="left"/>
            </w:pPr>
            <w:r>
              <w:t xml:space="preserve">3</w:t>
            </w:r>
          </w:p>
        </w:tc>
        <w:tc>
          <w:tcPr/>
          <w:p>
            <w:pPr>
              <w:pStyle w:val="Compact"/>
              <w:jc w:val="left"/>
            </w:pPr>
            <w:r>
              <w:t xml:space="preserve">37,500</w:t>
            </w:r>
          </w:p>
        </w:tc>
      </w:tr>
      <w:tr>
        <w:tc>
          <w:tcPr/>
          <w:p>
            <w:pPr>
              <w:pStyle w:val="Compact"/>
              <w:jc w:val="left"/>
            </w:pPr>
            <w:r>
              <w:t xml:space="preserve">02</w:t>
            </w:r>
          </w:p>
        </w:tc>
        <w:tc>
          <w:tcPr/>
          <w:p>
            <w:pPr>
              <w:pStyle w:val="Compact"/>
              <w:jc w:val="left"/>
            </w:pPr>
            <w:r>
              <w:t xml:space="preserve">Associate Judge Member (Panelist A) — Participation in all hearings, evidence evaluation, and written opinion drafting</w:t>
            </w:r>
          </w:p>
        </w:tc>
        <w:tc>
          <w:tcPr/>
          <w:p>
            <w:pPr>
              <w:pStyle w:val="Compact"/>
              <w:jc w:val="left"/>
            </w:pPr>
            <w:r>
              <w:t xml:space="preserve">3 days</w:t>
            </w:r>
          </w:p>
        </w:tc>
        <w:tc>
          <w:tcPr/>
          <w:p>
            <w:pPr>
              <w:pStyle w:val="Compact"/>
              <w:jc w:val="left"/>
            </w:pPr>
            <w:r>
              <w:t xml:space="preserve">8,200</w:t>
            </w:r>
          </w:p>
        </w:tc>
        <w:tc>
          <w:tcPr/>
          <w:p>
            <w:pPr>
              <w:pStyle w:val="Compact"/>
              <w:jc w:val="left"/>
            </w:pPr>
            <w:r>
              <w:t xml:space="preserve">3</w:t>
            </w:r>
          </w:p>
        </w:tc>
        <w:tc>
          <w:tcPr/>
          <w:p>
            <w:pPr>
              <w:pStyle w:val="Compact"/>
              <w:jc w:val="left"/>
            </w:pPr>
            <w:r>
              <w:t xml:space="preserve">24,600</w:t>
            </w:r>
          </w:p>
        </w:tc>
      </w:tr>
      <w:tr>
        <w:tc>
          <w:tcPr/>
          <w:p>
            <w:pPr>
              <w:pStyle w:val="Compact"/>
              <w:jc w:val="left"/>
            </w:pPr>
            <w:r>
              <w:t xml:space="preserve">03</w:t>
            </w:r>
          </w:p>
        </w:tc>
        <w:tc>
          <w:tcPr/>
          <w:p>
            <w:pPr>
              <w:pStyle w:val="Compact"/>
              <w:jc w:val="left"/>
            </w:pPr>
            <w:r>
              <w:t xml:space="preserve">Associate Judge Member (Panelist B) — Participation in all hearings, cross-examination oversight, and concurring opinion drafting</w:t>
            </w:r>
          </w:p>
        </w:tc>
        <w:tc>
          <w:tcPr/>
          <w:p>
            <w:pPr>
              <w:pStyle w:val="Compact"/>
              <w:jc w:val="left"/>
            </w:pPr>
            <w:r>
              <w:t xml:space="preserve">3 days</w:t>
            </w:r>
          </w:p>
        </w:tc>
        <w:tc>
          <w:tcPr/>
          <w:p>
            <w:pPr>
              <w:pStyle w:val="Compact"/>
              <w:jc w:val="left"/>
            </w:pPr>
            <w:r>
              <w:t xml:space="preserve">8,200</w:t>
            </w:r>
          </w:p>
        </w:tc>
        <w:tc>
          <w:tcPr/>
          <w:p>
            <w:pPr>
              <w:pStyle w:val="Compact"/>
              <w:jc w:val="left"/>
            </w:pPr>
            <w:r>
              <w:t xml:space="preserve">3</w:t>
            </w:r>
          </w:p>
        </w:tc>
        <w:tc>
          <w:tcPr/>
          <w:p>
            <w:pPr>
              <w:pStyle w:val="Compact"/>
              <w:jc w:val="left"/>
            </w:pPr>
            <w:r>
              <w:t xml:space="preserve">24,600</w:t>
            </w:r>
          </w:p>
        </w:tc>
      </w:tr>
      <w:tr>
        <w:tc>
          <w:tcPr/>
          <w:p>
            <w:pPr>
              <w:pStyle w:val="Compact"/>
              <w:jc w:val="left"/>
            </w:pPr>
            <w:r>
              <w:t xml:space="preserve">04</w:t>
            </w:r>
          </w:p>
        </w:tc>
        <w:tc>
          <w:tcPr/>
          <w:p>
            <w:pPr>
              <w:pStyle w:val="Compact"/>
              <w:jc w:val="left"/>
            </w:pPr>
            <w:r>
              <w:t xml:space="preserve">Judge Panel Administrative Support — Scheduling coordination, document management, and procedural compliance verification in Casablanca</w:t>
            </w:r>
          </w:p>
        </w:tc>
        <w:tc>
          <w:tcPr/>
          <w:p>
            <w:pPr>
              <w:pStyle w:val="Compact"/>
              <w:jc w:val="left"/>
            </w:pPr>
            <w:r>
              <w:t xml:space="preserve">3 days</w:t>
            </w:r>
          </w:p>
        </w:tc>
        <w:tc>
          <w:tcPr/>
          <w:p>
            <w:pPr>
              <w:pStyle w:val="Compact"/>
              <w:jc w:val="left"/>
            </w:pPr>
            <w:r>
              <w:t xml:space="preserve">3,500</w:t>
            </w:r>
          </w:p>
        </w:tc>
        <w:tc>
          <w:tcPr/>
          <w:p>
            <w:pPr>
              <w:pStyle w:val="Compact"/>
              <w:jc w:val="left"/>
            </w:pPr>
            <w:r>
              <w:t xml:space="preserve">3</w:t>
            </w:r>
          </w:p>
        </w:tc>
        <w:tc>
          <w:tcPr/>
          <w:p>
            <w:pPr>
              <w:pStyle w:val="Compact"/>
              <w:jc w:val="left"/>
            </w:pPr>
            <w:r>
              <w:t xml:space="preserve">10,500</w:t>
            </w:r>
          </w:p>
        </w:tc>
      </w:tr>
      <w:tr>
        <w:tc>
          <w:tcPr/>
          <w:p>
            <w:pPr>
              <w:pStyle w:val="Compact"/>
              <w:jc w:val="left"/>
            </w:pPr>
            <w:r>
              <w:t xml:space="preserve">05</w:t>
            </w:r>
          </w:p>
        </w:tc>
        <w:tc>
          <w:tcPr/>
          <w:p>
            <w:pPr>
              <w:pStyle w:val="Compact"/>
              <w:jc w:val="left"/>
            </w:pPr>
            <w:r>
              <w:t xml:space="preserve">Written Judgment &amp; Ruling Preparation — Final adjudication document, sealed and notarized per Moroccan legal standards</w:t>
            </w:r>
          </w:p>
        </w:tc>
        <w:tc>
          <w:tcPr/>
          <w:p>
            <w:pPr>
              <w:pStyle w:val="Compact"/>
              <w:jc w:val="left"/>
            </w:pPr>
            <w:r>
              <w:t xml:space="preserve">1 deliverable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Venue &amp; Logistics in Morocco Casablanca — Conference room rental, translation services (Arabic/French/English), and secure document handling</w:t>
            </w:r>
          </w:p>
        </w:tc>
        <w:tc>
          <w:tcPr/>
          <w:p>
            <w:pPr>
              <w:pStyle w:val="Compact"/>
              <w:jc w:val="left"/>
            </w:pPr>
            <w:r>
              <w:t xml:space="preserve">3 days</w:t>
            </w:r>
          </w:p>
        </w:tc>
        <w:tc>
          <w:tcPr/>
          <w:p>
            <w:pPr>
              <w:pStyle w:val="Compact"/>
              <w:jc w:val="left"/>
            </w:pPr>
            <w:r>
              <w:t xml:space="preserve">4,800</w:t>
            </w:r>
          </w:p>
        </w:tc>
        <w:tc>
          <w:tcPr/>
          <w:p>
            <w:pPr>
              <w:pStyle w:val="Compact"/>
              <w:jc w:val="left"/>
            </w:pPr>
            <w:r>
              <w:t xml:space="preserve">3</w:t>
            </w:r>
          </w:p>
        </w:tc>
        <w:tc>
          <w:tcPr/>
          <w:p>
            <w:pPr>
              <w:pStyle w:val="Compact"/>
              <w:jc w:val="left"/>
            </w:pPr>
            <w:r>
              <w:t xml:space="preserve">14,400</w:t>
            </w:r>
          </w:p>
        </w:tc>
      </w:tr>
      <w:tr>
        <w:tc>
          <w:tcPr/>
          <w:p>
            <w:pPr>
              <w:pStyle w:val="Compact"/>
              <w:jc w:val="left"/>
            </w:pPr>
            <w:r>
              <w:t xml:space="preserve">07</w:t>
            </w:r>
          </w:p>
        </w:tc>
        <w:tc>
          <w:tcPr/>
          <w:p>
            <w:pPr>
              <w:pStyle w:val="Compact"/>
              <w:jc w:val="left"/>
            </w:pPr>
            <w:r>
              <w:t xml:space="preserve">Post-Session Judge Consultation — One (1) follow-up session for clarification of the ruling, available within 30 days of the final judgment</w:t>
            </w:r>
          </w:p>
        </w:tc>
        <w:tc>
          <w:tcPr/>
          <w:p>
            <w:pPr>
              <w:pStyle w:val="Compact"/>
              <w:jc w:val="left"/>
            </w:pPr>
            <w:r>
              <w:t xml:space="preserve">1 session</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gridSpan w:val="5"/>
          </w:tcPr>
          <w:p>
            <w:pPr>
              <w:pStyle w:val="Compact"/>
              <w:jc w:val="left"/>
            </w:pPr>
            <w:r>
              <w:t xml:space="preserve">TOTAL ESTIMATED COST (Before VAT)</w:t>
            </w:r>
          </w:p>
        </w:tc>
        <w:tc>
          <w:tcPr/>
          <w:p>
            <w:pPr>
              <w:pStyle w:val="Compact"/>
              <w:jc w:val="left"/>
            </w:pPr>
            <w:r>
              <w:t xml:space="preserve">132,600 MAD</w:t>
            </w:r>
          </w:p>
        </w:tc>
      </w:tr>
      <w:tr>
        <w:tc>
          <w:tcPr>
            <w:gridSpan w:val="5"/>
          </w:tcPr>
          <w:p>
            <w:pPr>
              <w:pStyle w:val="Compact"/>
              <w:jc w:val="left"/>
            </w:pPr>
            <w:r>
              <w:t xml:space="preserve">VAT (20% — Moroccan Standard Rate)</w:t>
            </w:r>
          </w:p>
        </w:tc>
        <w:tc>
          <w:tcPr/>
          <w:p>
            <w:pPr>
              <w:pStyle w:val="Compact"/>
              <w:jc w:val="left"/>
            </w:pPr>
            <w:r>
              <w:t xml:space="preserve">26,520 MAD</w:t>
            </w:r>
          </w:p>
        </w:tc>
      </w:tr>
      <w:tr>
        <w:tc>
          <w:tcPr>
            <w:gridSpan w:val="5"/>
          </w:tcPr>
          <w:p>
            <w:pPr>
              <w:pStyle w:val="Compact"/>
              <w:jc w:val="left"/>
            </w:pPr>
            <w:r>
              <w:t xml:space="preserve">GRAND TOTAL (Incl. VAT)</w:t>
            </w:r>
          </w:p>
        </w:tc>
        <w:tc>
          <w:tcPr/>
          <w:p>
            <w:pPr>
              <w:pStyle w:val="Compact"/>
              <w:jc w:val="left"/>
            </w:pPr>
            <w:r>
              <w:t xml:space="preserve">159,120 MAD</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w:t>
      </w:r>
      <w:r>
        <w:t xml:space="preserve"> </w:t>
      </w:r>
      <w:r>
        <w:t xml:space="preserve">Quotation Estimate</w:t>
      </w:r>
      <w:r>
        <w:t xml:space="preserve"> </w:t>
      </w:r>
      <w:r>
        <w:t xml:space="preserve">is valid for a period of ninety (90) calendar days from the date of issue. All pricing is quoted in Moroccan Dirhams (MAD) and is subject to the standard 20% Value Added Tax (TVA) as mandated by the Moroccan tax authority (Direction Générale des Impôts). Payment terms are structured as follows: fifty percent (50%) of the total amount shall be due upon acceptance of this</w:t>
      </w:r>
      <w:r>
        <w:t xml:space="preserve"> </w:t>
      </w:r>
      <w:r>
        <w:t xml:space="preserve">Quotation Estimate</w:t>
      </w:r>
      <w:r>
        <w:t xml:space="preserve"> </w:t>
      </w:r>
      <w:r>
        <w:t xml:space="preserve">and execution of the service agreement, and the remaining fifty percent (50%) shall be due within fifteen (15) business days following the delivery of the final written judgment by the</w:t>
      </w:r>
      <w:r>
        <w:t xml:space="preserve"> </w:t>
      </w:r>
      <w:r>
        <w:t xml:space="preserve">Judge</w:t>
      </w:r>
      <w:r>
        <w:t xml:space="preserve"> </w:t>
      </w:r>
      <w:r>
        <w:t xml:space="preserve">panel.</w:t>
      </w:r>
    </w:p>
    <w:p>
      <w:pPr>
        <w:pStyle w:val="BodyText"/>
      </w:pPr>
      <w:r>
        <w:t xml:space="preserve">The</w:t>
      </w:r>
      <w:r>
        <w:t xml:space="preserve"> </w:t>
      </w:r>
      <w:r>
        <w:t xml:space="preserve">Judge</w:t>
      </w:r>
      <w:r>
        <w:t xml:space="preserve"> </w:t>
      </w:r>
      <w:r>
        <w:t xml:space="preserve">panel engaged under this estimate shall maintain strict impartiality and confidentiality in accordance with Article 12 of the Moroccan Arbitration Law (Law No. 95-17) and the ethical code of the Casablanca Bar Association. All proceedings shall be conducted in the official languages of the Kingdom of Morocco, namely Arabic and French, with English translation available at the rates specified in Item 06 of this</w:t>
      </w:r>
      <w:r>
        <w:t xml:space="preserve"> </w:t>
      </w:r>
      <w:r>
        <w:t xml:space="preserve">Quotation Estimate</w:t>
      </w:r>
      <w:r>
        <w:t xml:space="preserve">.</w:t>
      </w:r>
    </w:p>
    <w:bookmarkEnd w:id="23"/>
    <w:bookmarkStart w:id="24" w:name="assumptions-and-exclusions"/>
    <w:p>
      <w:pPr>
        <w:pStyle w:val="Heading2"/>
      </w:pPr>
      <w:r>
        <w:t xml:space="preserve">4. Assumptions and Exclusions</w:t>
      </w:r>
    </w:p>
    <w:p>
      <w:pPr>
        <w:pStyle w:val="FirstParagraph"/>
      </w:pPr>
      <w:r>
        <w:rPr>
          <w:bCs/>
          <w:b/>
        </w:rPr>
        <w:t xml:space="preserve">Assumptions:</w:t>
      </w:r>
      <w:r>
        <w:t xml:space="preserve"> </w:t>
      </w:r>
      <w:r>
        <w:t xml:space="preserve">This</w:t>
      </w:r>
      <w:r>
        <w:t xml:space="preserve"> </w:t>
      </w:r>
      <w:r>
        <w:t xml:space="preserve">Quotation Estimate</w:t>
      </w:r>
      <w:r>
        <w:t xml:space="preserve"> </w:t>
      </w:r>
      <w:r>
        <w:t xml:space="preserve">assumes that the case file contains no more than 500 pages of documentation. Should the volume exceed this threshold, an additional fee of 150 MAD per 50 pages will be applied to the</w:t>
      </w:r>
      <w:r>
        <w:t xml:space="preserve"> </w:t>
      </w:r>
      <w:r>
        <w:t xml:space="preserve">Judge</w:t>
      </w:r>
      <w:r>
        <w:t xml:space="preserve"> </w:t>
      </w:r>
      <w:r>
        <w:t xml:space="preserve">panel's pre-hearing review. The estimated three-day session assumes standard working hours of 08:00 to 17:00 local time in</w:t>
      </w:r>
      <w:r>
        <w:t xml:space="preserve"> </w:t>
      </w:r>
      <w:r>
        <w:t xml:space="preserve">Morocco Casablanca</w:t>
      </w:r>
      <w:r>
        <w:t xml:space="preserve">. Overtime beyond these hours will be billed at 1.5x the applicable daily rate.</w:t>
      </w:r>
    </w:p>
    <w:p>
      <w:pPr>
        <w:pStyle w:val="BodyText"/>
      </w:pPr>
      <w:r>
        <w:rPr>
          <w:bCs/>
          <w:b/>
        </w:rPr>
        <w:t xml:space="preserve">Exclusions:</w:t>
      </w:r>
      <w:r>
        <w:t xml:space="preserve"> </w:t>
      </w:r>
      <w:r>
        <w:t xml:space="preserve">This estimate does not include court filing fees, enforcement costs, or any litigation expenses that may arise if the</w:t>
      </w:r>
      <w:r>
        <w:t xml:space="preserve"> </w:t>
      </w:r>
      <w:r>
        <w:t xml:space="preserve">Judge</w:t>
      </w:r>
      <w:r>
        <w:t xml:space="preserve"> </w:t>
      </w:r>
      <w:r>
        <w:t xml:space="preserve">panel's ruling is subsequently challenged before the Cour d'Appel de Casablanca. Travel and accommodation for the</w:t>
      </w:r>
      <w:r>
        <w:t xml:space="preserve"> </w:t>
      </w:r>
      <w:r>
        <w:t xml:space="preserve">Judge</w:t>
      </w:r>
      <w:r>
        <w:t xml:space="preserve"> </w:t>
      </w:r>
      <w:r>
        <w:t xml:space="preserve">panel members, should they be required to travel from outside the Casablanca metropolitan area, will be billed at actual cost with a 10% administrative surcharge.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w:t>
      </w:r>
      <w:r>
        <w:t xml:space="preserve"> </w:t>
      </w:r>
      <w:r>
        <w:t xml:space="preserve">Judge</w:t>
      </w:r>
      <w:r>
        <w:t xml:space="preserve"> </w:t>
      </w:r>
      <w:r>
        <w:t xml:space="preserve">services in</w:t>
      </w:r>
      <w:r>
        <w:t xml:space="preserve"> </w:t>
      </w:r>
      <w:r>
        <w:t xml:space="preserve">Morocco Casablanca</w:t>
      </w:r>
      <w:r>
        <w:t xml:space="preserve">. This document does not constitute a binding contract until a formal service agreement is executed by both parties.</w:t>
      </w:r>
    </w:p>
    <w:p>
      <w:pPr>
        <w:pStyle w:val="BodyText"/>
      </w:pPr>
      <w:r>
        <w:rPr>
          <w:bCs/>
          <w:b/>
        </w:rPr>
        <w:t xml:space="preserve">For Atlas Judicial Consulting SARL</w:t>
      </w:r>
      <w:r>
        <w:br/>
      </w:r>
      <w:r>
        <w:t xml:space="preserve">Authorized Signatory — Casablanca, Morocco</w:t>
      </w:r>
      <w:r>
        <w:br/>
      </w:r>
      <w:r>
        <w:t xml:space="preserve">Date: ______________________</w:t>
      </w:r>
    </w:p>
    <w:p>
      <w:pPr>
        <w:pStyle w:val="BodyText"/>
      </w:pPr>
      <w:r>
        <w:rPr>
          <w:bCs/>
          <w:b/>
        </w:rPr>
        <w:t xml:space="preserve">For the Client</w:t>
      </w:r>
      <w:r>
        <w:br/>
      </w:r>
      <w:r>
        <w:t xml:space="preserve">Name &amp; Title: ______________________</w:t>
      </w:r>
      <w:r>
        <w:br/>
      </w:r>
      <w:r>
        <w:t xml:space="preserve">Date: ______________________</w:t>
      </w:r>
    </w:p>
    <w:p>
      <w:pPr>
        <w:pStyle w:val="BodyText"/>
      </w:pPr>
      <w:r>
        <w:rPr>
          <w:bCs/>
          <w:b/>
        </w:rPr>
        <w:t xml:space="preserve">Atlas Judicial Consulting SARL</w:t>
      </w:r>
      <w:r>
        <w:t xml:space="preserve"> </w:t>
      </w:r>
      <w:r>
        <w:t xml:space="preserve">| 42 Boulevard Mohammed V, Casablanca 20250, Morocco</w:t>
      </w:r>
      <w:r>
        <w:br/>
      </w:r>
      <w:r>
        <w:t xml:space="preserve">RC: 458721 | ICE: 002345678000091 | IF: 45872100</w:t>
      </w:r>
      <w:r>
        <w:br/>
      </w:r>
      <w:r>
        <w:t xml:space="preserve">Tel: +212 522-000-000 | Email: quotations@atlasjudicial.ma</w:t>
      </w:r>
      <w:r>
        <w:br/>
      </w:r>
      <w:r>
        <w:rPr>
          <w:iCs/>
          <w:i/>
        </w:rPr>
        <w:t xml:space="preserve">This Quotation Estimate is the property of Atlas Judicial Consulting SARL and is intended solely for the named client. Unauthorized reproduction or distribution is prohibited under Moroccan intellectual property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Morocco Casablanca</dc:title>
  <dc:creator/>
  <dc:language>en</dc:language>
  <cp:keywords/>
  <dcterms:created xsi:type="dcterms:W3CDTF">2026-10-10T04:08:24Z</dcterms:created>
  <dcterms:modified xsi:type="dcterms:W3CDTF">2026-10-10T04:08:24Z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