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Judge Services &amp; Courtroom Provision — Netherlands Amsterdam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QE-2025-AMST-0472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Amsterdam Legal Services B.V., Herengracht 420, 1017 BZ Amsterdam, The Netherlands</w:t>
            </w:r>
          </w:p>
        </w:tc>
      </w:tr>
      <w:tr>
        <w:tc>
          <w:tcPr/>
          <w:p>
            <w:pPr>
              <w:pStyle w:val="Compact"/>
              <w:jc w:val="left"/>
            </w:pPr>
            <w:r>
              <w:t xml:space="preserve">Prepared For</w:t>
            </w:r>
          </w:p>
        </w:tc>
        <w:tc>
          <w:tcPr/>
          <w:p>
            <w:pPr>
              <w:pStyle w:val="Compact"/>
              <w:jc w:val="left"/>
            </w:pPr>
            <w:r>
              <w:t xml:space="preserve">Rechtbank Noord-Holland, District Court Amsterdam, Roelof Hartplein 1, 1013 HA Amsterdam, The Netherlands</w:t>
            </w:r>
          </w:p>
        </w:tc>
      </w:tr>
      <w:tr>
        <w:tc>
          <w:tcPr/>
          <w:p>
            <w:pPr>
              <w:pStyle w:val="Compact"/>
              <w:jc w:val="left"/>
            </w:pPr>
            <w:r>
              <w:t xml:space="preserve">Matter Reference</w:t>
            </w:r>
          </w:p>
        </w:tc>
        <w:tc>
          <w:tcPr/>
          <w:p>
            <w:pPr>
              <w:pStyle w:val="Compact"/>
              <w:jc w:val="left"/>
            </w:pPr>
            <w:r>
              <w:t xml:space="preserve">Civil Arbitration Case No. 2025-CV-11874 — Commercial Dispute Resolution</w:t>
            </w:r>
          </w:p>
        </w:tc>
      </w:tr>
    </w:tbl>
    <w:bookmarkStart w:id="21" w:name="X3bbe17595e4e5fa0e880f0232b4e86a1f35437b"/>
    <w:p>
      <w:pPr>
        <w:pStyle w:val="Heading2"/>
      </w:pPr>
      <w:r>
        <w:t xml:space="preserve">1. Scope of Services — Judge Engagement in Netherlands Amsterdam</w:t>
      </w:r>
    </w:p>
    <w:p>
      <w:pPr>
        <w:pStyle w:val="FirstParagraph"/>
      </w:pPr>
      <w:r>
        <w:t xml:space="preserve">This Quotation Estimate is issued by Amsterdam Legal Services B.V. in response to the formal request from the Rechtbank Noord-Holland for the provision of a qualified Judge (arbitrator) and all associated courtroom infrastructure for the resolution of a commercial dispute matter scheduled to take place in the city of Amsterdam, Netherlands. The Judge engaged under this Quotation Estimate shall possess a minimum of fifteen (15) years of experience in Dutch civil and commercial law, hold a valid appointment under the Dutch Arbitration Act (Boek 4 van het Wetboek van Burgerlijke Rechtsvordering), and be fluent in both Dutch and English to accommodate the multilingual nature of the proceedings in Netherlands Amsterdam.</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Engagement of a Senior Judge (Arbitrator) — full-day hearing in Amsterdam, including pre-hearing case review, oral arguments, deliberation, and written award drafting</w:t>
            </w:r>
          </w:p>
        </w:tc>
        <w:tc>
          <w:tcPr/>
          <w:p>
            <w:pPr>
              <w:pStyle w:val="Compact"/>
              <w:jc w:val="left"/>
            </w:pPr>
            <w:r>
              <w:t xml:space="preserve">1 day</w:t>
            </w:r>
          </w:p>
        </w:tc>
        <w:tc>
          <w:tcPr/>
          <w:p>
            <w:pPr>
              <w:pStyle w:val="Compact"/>
              <w:jc w:val="left"/>
            </w:pPr>
            <w:r>
              <w:t xml:space="preserve">€ 3,200.00</w:t>
            </w:r>
          </w:p>
        </w:tc>
        <w:tc>
          <w:tcPr/>
          <w:p>
            <w:pPr>
              <w:pStyle w:val="Compact"/>
              <w:jc w:val="left"/>
            </w:pPr>
            <w:r>
              <w:t xml:space="preserve">€ 3,200.00</w:t>
            </w:r>
          </w:p>
        </w:tc>
        <w:tc>
          <w:tcPr/>
          <w:p>
            <w:pPr>
              <w:pStyle w:val="Compact"/>
              <w:jc w:val="left"/>
            </w:pPr>
            <w:r>
              <w:t xml:space="preserve">Includes travel within Amsterdam</w:t>
            </w:r>
          </w:p>
        </w:tc>
      </w:tr>
      <w:tr>
        <w:tc>
          <w:tcPr/>
          <w:p>
            <w:pPr>
              <w:pStyle w:val="Compact"/>
              <w:jc w:val="left"/>
            </w:pPr>
            <w:r>
              <w:t xml:space="preserve">2</w:t>
            </w:r>
          </w:p>
        </w:tc>
        <w:tc>
          <w:tcPr/>
          <w:p>
            <w:pPr>
              <w:pStyle w:val="Compact"/>
              <w:jc w:val="left"/>
            </w:pPr>
            <w:r>
              <w:t xml:space="preserve">Judge's bench, gavel, and official courtroom furniture setup (oak, Dutch court standard) at the designated hearing room in Netherlands Amsterdam</w:t>
            </w:r>
          </w:p>
        </w:tc>
        <w:tc>
          <w:tcPr/>
          <w:p>
            <w:pPr>
              <w:pStyle w:val="Compact"/>
              <w:jc w:val="left"/>
            </w:pPr>
            <w:r>
              <w:t xml:space="preserve">1 set</w:t>
            </w:r>
          </w:p>
        </w:tc>
        <w:tc>
          <w:tcPr/>
          <w:p>
            <w:pPr>
              <w:pStyle w:val="Compact"/>
              <w:jc w:val="left"/>
            </w:pPr>
            <w:r>
              <w:t xml:space="preserve">€ 1,450.00</w:t>
            </w:r>
          </w:p>
        </w:tc>
        <w:tc>
          <w:tcPr/>
          <w:p>
            <w:pPr>
              <w:pStyle w:val="Compact"/>
              <w:jc w:val="left"/>
            </w:pPr>
            <w:r>
              <w:t xml:space="preserve">€ 1,450.00</w:t>
            </w:r>
          </w:p>
        </w:tc>
        <w:tc>
          <w:tcPr/>
          <w:p>
            <w:pPr>
              <w:pStyle w:val="Compact"/>
              <w:jc w:val="left"/>
            </w:pPr>
            <w:r>
              <w:t xml:space="preserve">Delivery, assembly, and removal</w:t>
            </w:r>
          </w:p>
        </w:tc>
      </w:tr>
      <w:tr>
        <w:tc>
          <w:tcPr/>
          <w:p>
            <w:pPr>
              <w:pStyle w:val="Compact"/>
              <w:jc w:val="left"/>
            </w:pPr>
            <w:r>
              <w:t xml:space="preserve">3</w:t>
            </w:r>
          </w:p>
        </w:tc>
        <w:tc>
          <w:tcPr/>
          <w:p>
            <w:pPr>
              <w:pStyle w:val="Compact"/>
              <w:jc w:val="left"/>
            </w:pPr>
            <w:r>
              <w:t xml:space="preserve">Official Judge's robe and insignia (Dutch judicial regalia, black with gold trim) — rental for the duration of proceedings</w:t>
            </w:r>
          </w:p>
        </w:tc>
        <w:tc>
          <w:tcPr/>
          <w:p>
            <w:pPr>
              <w:pStyle w:val="Compact"/>
              <w:jc w:val="left"/>
            </w:pPr>
            <w:r>
              <w:t xml:space="preserve">1 set</w:t>
            </w:r>
          </w:p>
        </w:tc>
        <w:tc>
          <w:tcPr/>
          <w:p>
            <w:pPr>
              <w:pStyle w:val="Compact"/>
              <w:jc w:val="left"/>
            </w:pPr>
            <w:r>
              <w:t xml:space="preserve">€ 180.00</w:t>
            </w:r>
          </w:p>
        </w:tc>
        <w:tc>
          <w:tcPr/>
          <w:p>
            <w:pPr>
              <w:pStyle w:val="Compact"/>
              <w:jc w:val="left"/>
            </w:pPr>
            <w:r>
              <w:t xml:space="preserve">€ 180.00</w:t>
            </w:r>
          </w:p>
        </w:tc>
        <w:tc>
          <w:tcPr/>
          <w:p>
            <w:pPr>
              <w:pStyle w:val="Compact"/>
              <w:jc w:val="left"/>
            </w:pPr>
            <w:r>
              <w:t xml:space="preserve">Compliant with Dutch court protocol</w:t>
            </w:r>
          </w:p>
        </w:tc>
      </w:tr>
      <w:tr>
        <w:tc>
          <w:tcPr/>
          <w:p>
            <w:pPr>
              <w:pStyle w:val="Compact"/>
              <w:jc w:val="left"/>
            </w:pPr>
            <w:r>
              <w:t xml:space="preserve">4</w:t>
            </w:r>
          </w:p>
        </w:tc>
        <w:tc>
          <w:tcPr/>
          <w:p>
            <w:pPr>
              <w:pStyle w:val="Compact"/>
              <w:jc w:val="left"/>
            </w:pPr>
            <w:r>
              <w:t xml:space="preserve">Simultaneous interpretation equipment (Dutch–English) for the Judge's bench and both parties' tables, including two certified court interpreters</w:t>
            </w:r>
          </w:p>
        </w:tc>
        <w:tc>
          <w:tcPr/>
          <w:p>
            <w:pPr>
              <w:pStyle w:val="Compact"/>
              <w:jc w:val="left"/>
            </w:pPr>
            <w:r>
              <w:t xml:space="preserve">1 day</w:t>
            </w:r>
          </w:p>
        </w:tc>
        <w:tc>
          <w:tcPr/>
          <w:p>
            <w:pPr>
              <w:pStyle w:val="Compact"/>
              <w:jc w:val="left"/>
            </w:pPr>
            <w:r>
              <w:t xml:space="preserve">€ 2,100.00</w:t>
            </w:r>
          </w:p>
        </w:tc>
        <w:tc>
          <w:tcPr/>
          <w:p>
            <w:pPr>
              <w:pStyle w:val="Compact"/>
              <w:jc w:val="left"/>
            </w:pPr>
            <w:r>
              <w:t xml:space="preserve">€ 2,100.00</w:t>
            </w:r>
          </w:p>
        </w:tc>
        <w:tc>
          <w:tcPr/>
          <w:p>
            <w:pPr>
              <w:pStyle w:val="Compact"/>
              <w:jc w:val="left"/>
            </w:pPr>
            <w:r>
              <w:t xml:space="preserve">Interpreters included in rate</w:t>
            </w:r>
          </w:p>
        </w:tc>
      </w:tr>
      <w:tr>
        <w:tc>
          <w:tcPr/>
          <w:p>
            <w:pPr>
              <w:pStyle w:val="Compact"/>
              <w:jc w:val="left"/>
            </w:pPr>
            <w:r>
              <w:t xml:space="preserve">5</w:t>
            </w:r>
          </w:p>
        </w:tc>
        <w:tc>
          <w:tcPr/>
          <w:p>
            <w:pPr>
              <w:pStyle w:val="Compact"/>
              <w:jc w:val="left"/>
            </w:pPr>
            <w:r>
              <w:t xml:space="preserve">Digital case management system and secure video-conferencing link for the Judge to access prior filings and evidence from the Netherlands Amsterdam court registry</w:t>
            </w:r>
          </w:p>
        </w:tc>
        <w:tc>
          <w:tcPr/>
          <w:p>
            <w:pPr>
              <w:pStyle w:val="Compact"/>
              <w:jc w:val="left"/>
            </w:pPr>
            <w:r>
              <w:t xml:space="preserve">1 day</w:t>
            </w:r>
          </w:p>
        </w:tc>
        <w:tc>
          <w:tcPr/>
          <w:p>
            <w:pPr>
              <w:pStyle w:val="Compact"/>
              <w:jc w:val="left"/>
            </w:pPr>
            <w:r>
              <w:t xml:space="preserve">€ 650.00</w:t>
            </w:r>
          </w:p>
        </w:tc>
        <w:tc>
          <w:tcPr/>
          <w:p>
            <w:pPr>
              <w:pStyle w:val="Compact"/>
              <w:jc w:val="left"/>
            </w:pPr>
            <w:r>
              <w:t xml:space="preserve">€ 650.00</w:t>
            </w:r>
          </w:p>
        </w:tc>
        <w:tc>
          <w:tcPr/>
          <w:p>
            <w:pPr>
              <w:pStyle w:val="Compact"/>
              <w:jc w:val="left"/>
            </w:pPr>
            <w:r>
              <w:t xml:space="preserve">Encrypted, GDPR-compliant</w:t>
            </w:r>
          </w:p>
        </w:tc>
      </w:tr>
      <w:tr>
        <w:tc>
          <w:tcPr/>
          <w:p>
            <w:pPr>
              <w:pStyle w:val="Compact"/>
              <w:jc w:val="left"/>
            </w:pPr>
            <w:r>
              <w:t xml:space="preserve">6</w:t>
            </w:r>
          </w:p>
        </w:tc>
        <w:tc>
          <w:tcPr/>
          <w:p>
            <w:pPr>
              <w:pStyle w:val="Compact"/>
              <w:jc w:val="left"/>
            </w:pPr>
            <w:r>
              <w:t xml:space="preserve">Post-hearing written award preparation and filing support by the Judge, including a minimum of 25 pages of reasoned judgment in Dutch and English</w:t>
            </w:r>
          </w:p>
        </w:tc>
        <w:tc>
          <w:tcPr/>
          <w:p>
            <w:pPr>
              <w:pStyle w:val="Compact"/>
              <w:jc w:val="left"/>
            </w:pPr>
            <w:r>
              <w:t xml:space="preserve">1 deliverable</w:t>
            </w:r>
          </w:p>
        </w:tc>
        <w:tc>
          <w:tcPr/>
          <w:p>
            <w:pPr>
              <w:pStyle w:val="Compact"/>
              <w:jc w:val="left"/>
            </w:pPr>
            <w:r>
              <w:t xml:space="preserve">€ 2,800.00</w:t>
            </w:r>
          </w:p>
        </w:tc>
        <w:tc>
          <w:tcPr/>
          <w:p>
            <w:pPr>
              <w:pStyle w:val="Compact"/>
              <w:jc w:val="left"/>
            </w:pPr>
            <w:r>
              <w:t xml:space="preserve">€ 2,800.00</w:t>
            </w:r>
          </w:p>
        </w:tc>
        <w:tc>
          <w:tcPr/>
          <w:p>
            <w:pPr>
              <w:pStyle w:val="Compact"/>
              <w:jc w:val="left"/>
            </w:pPr>
            <w:r>
              <w:t xml:space="preserve">Delivered within 30 calendar days</w:t>
            </w:r>
          </w:p>
        </w:tc>
      </w:tr>
      <w:tr>
        <w:tc>
          <w:tcPr/>
          <w:p>
            <w:pPr>
              <w:pStyle w:val="Compact"/>
              <w:jc w:val="left"/>
            </w:pPr>
            <w:r>
              <w:t xml:space="preserve">7</w:t>
            </w:r>
          </w:p>
        </w:tc>
        <w:tc>
          <w:tcPr/>
          <w:p>
            <w:pPr>
              <w:pStyle w:val="Compact"/>
              <w:jc w:val="left"/>
            </w:pPr>
            <w:r>
              <w:t xml:space="preserve">Courtroom security, bailiff services, and administrative support staff for the Judge during the hearing day in Amsterdam</w:t>
            </w:r>
          </w:p>
        </w:tc>
        <w:tc>
          <w:tcPr/>
          <w:p>
            <w:pPr>
              <w:pStyle w:val="Compact"/>
              <w:jc w:val="left"/>
            </w:pPr>
            <w:r>
              <w:t xml:space="preserve">1 day</w:t>
            </w:r>
          </w:p>
        </w:tc>
        <w:tc>
          <w:tcPr/>
          <w:p>
            <w:pPr>
              <w:pStyle w:val="Compact"/>
              <w:jc w:val="left"/>
            </w:pPr>
            <w:r>
              <w:t xml:space="preserve">€ 950.00</w:t>
            </w:r>
          </w:p>
        </w:tc>
        <w:tc>
          <w:tcPr/>
          <w:p>
            <w:pPr>
              <w:pStyle w:val="Compact"/>
              <w:jc w:val="left"/>
            </w:pPr>
            <w:r>
              <w:t xml:space="preserve">€ 950.00</w:t>
            </w:r>
          </w:p>
        </w:tc>
        <w:tc>
          <w:tcPr/>
          <w:p>
            <w:pPr>
              <w:pStyle w:val="Compact"/>
              <w:jc w:val="left"/>
            </w:pPr>
            <w:r>
              <w:t xml:space="preserve">Two bailiffs + one clerk</w:t>
            </w:r>
          </w:p>
        </w:tc>
      </w:tr>
      <w:tr>
        <w:tc>
          <w:tcPr/>
          <w:p>
            <w:pPr>
              <w:pStyle w:val="Compact"/>
              <w:jc w:val="left"/>
            </w:pPr>
            <w:r>
              <w:t xml:space="preserve">8</w:t>
            </w:r>
          </w:p>
        </w:tc>
        <w:tc>
          <w:tcPr/>
          <w:p>
            <w:pPr>
              <w:pStyle w:val="Compact"/>
              <w:jc w:val="left"/>
            </w:pPr>
            <w:r>
              <w:t xml:space="preserve">Contingency and administrative overhead (10%) covering scheduling, insurance, and miscellaneous logistics within the Netherlands Amsterdam jurisdiction</w:t>
            </w:r>
          </w:p>
        </w:tc>
        <w:tc>
          <w:tcPr/>
          <w:p>
            <w:pPr>
              <w:pStyle w:val="Compact"/>
              <w:jc w:val="left"/>
            </w:pPr>
            <w:r>
              <w:t xml:space="preserve">1</w:t>
            </w:r>
          </w:p>
        </w:tc>
        <w:tc>
          <w:tcPr/>
          <w:p>
            <w:pPr>
              <w:pStyle w:val="Compact"/>
              <w:jc w:val="left"/>
            </w:pPr>
            <w:r>
              <w:t xml:space="preserve">€ 1,133.00</w:t>
            </w:r>
          </w:p>
        </w:tc>
        <w:tc>
          <w:tcPr/>
          <w:p>
            <w:pPr>
              <w:pStyle w:val="Compact"/>
              <w:jc w:val="left"/>
            </w:pPr>
            <w:r>
              <w:t xml:space="preserve">€ 1,133.00</w:t>
            </w:r>
          </w:p>
        </w:tc>
        <w:tc>
          <w:tcPr/>
          <w:p>
            <w:pPr>
              <w:pStyle w:val="Compact"/>
              <w:jc w:val="left"/>
            </w:pPr>
            <w:r>
              <w:t xml:space="preserve">Calculated on subtotal</w:t>
            </w:r>
          </w:p>
        </w:tc>
      </w:tr>
      <w:tr>
        <w:tc>
          <w:tcPr>
            <w:gridSpan w:val="4"/>
          </w:tcPr>
          <w:p>
            <w:pPr>
              <w:pStyle w:val="Compact"/>
              <w:jc w:val="left"/>
            </w:pPr>
            <w:r>
              <w:t xml:space="preserve">GRAND TOTAL (excl. 21% Dutch VAT)</w:t>
            </w:r>
          </w:p>
        </w:tc>
        <w:tc>
          <w:tcPr/>
          <w:p>
            <w:pPr>
              <w:pStyle w:val="Compact"/>
              <w:jc w:val="left"/>
            </w:pPr>
            <w:r>
              <w:t xml:space="preserve">€ 12,463.00</w:t>
            </w:r>
          </w:p>
        </w:tc>
        <w:tc>
          <w:tcPr/>
          <w:p>
            <w:pPr>
              <w:pStyle w:val="Compact"/>
            </w:pPr>
          </w:p>
        </w:tc>
      </w:tr>
      <w:tr>
        <w:tc>
          <w:tcPr>
            <w:gridSpan w:val="4"/>
          </w:tcPr>
          <w:p>
            <w:pPr>
              <w:pStyle w:val="Compact"/>
              <w:jc w:val="left"/>
            </w:pPr>
            <w:r>
              <w:t xml:space="preserve">Dutch VAT (21%)</w:t>
            </w:r>
          </w:p>
        </w:tc>
        <w:tc>
          <w:tcPr/>
          <w:p>
            <w:pPr>
              <w:pStyle w:val="Compact"/>
              <w:jc w:val="left"/>
            </w:pPr>
            <w:r>
              <w:t xml:space="preserve">€ 2,617.23</w:t>
            </w:r>
          </w:p>
        </w:tc>
        <w:tc>
          <w:tcPr/>
          <w:p>
            <w:pPr>
              <w:pStyle w:val="Compact"/>
            </w:pPr>
          </w:p>
        </w:tc>
      </w:tr>
      <w:tr>
        <w:tc>
          <w:tcPr>
            <w:gridSpan w:val="4"/>
          </w:tcPr>
          <w:p>
            <w:pPr>
              <w:pStyle w:val="Compact"/>
              <w:jc w:val="left"/>
            </w:pPr>
            <w:r>
              <w:t xml:space="preserve">GRAND TOTAL (incl. 21% Dutch VAT)</w:t>
            </w:r>
          </w:p>
        </w:tc>
        <w:tc>
          <w:tcPr/>
          <w:p>
            <w:pPr>
              <w:pStyle w:val="Compact"/>
              <w:jc w:val="left"/>
            </w:pPr>
            <w:r>
              <w:t xml:space="preserve">€ 15,080.23</w:t>
            </w:r>
          </w:p>
        </w:tc>
        <w:tc>
          <w:tcPr/>
          <w:p>
            <w:pPr>
              <w:pStyle w:val="Compact"/>
            </w:pP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is valid for a period of ninety (90) days from the date of issue. After this period, all rates and availability of the Judge must be reconfirmed in writing.</w:t>
      </w:r>
    </w:p>
    <w:p>
      <w:pPr>
        <w:numPr>
          <w:ilvl w:val="0"/>
          <w:numId w:val="1001"/>
        </w:numPr>
        <w:pStyle w:val="Compact"/>
      </w:pPr>
      <w:r>
        <w:rPr>
          <w:bCs/>
          <w:b/>
        </w:rPr>
        <w:t xml:space="preserve">Payment Terms:</w:t>
      </w:r>
      <w:r>
        <w:t xml:space="preserve"> </w:t>
      </w:r>
      <w:r>
        <w:t xml:space="preserve">A deposit of 40% of the total amount is due upon acceptance of this Quotation Estimate. The remaining 60% is payable within fourteen (14) calendar days following the delivery of the Judge's written award.</w:t>
      </w:r>
    </w:p>
    <w:p>
      <w:pPr>
        <w:numPr>
          <w:ilvl w:val="0"/>
          <w:numId w:val="1001"/>
        </w:numPr>
        <w:pStyle w:val="Compact"/>
      </w:pPr>
      <w:r>
        <w:rPr>
          <w:bCs/>
          <w:b/>
        </w:rPr>
        <w:t xml:space="preserve">Judge Availability:</w:t>
      </w:r>
      <w:r>
        <w:t xml:space="preserve"> </w:t>
      </w:r>
      <w:r>
        <w:t xml:space="preserve">The engagement of the Judge is subject to a conflict-of-interest check in accordance with Dutch arbitration law. Should a conflict be identified, an equivalent Judge of comparable seniority will be proposed at no additional cost.</w:t>
      </w:r>
    </w:p>
    <w:p>
      <w:pPr>
        <w:numPr>
          <w:ilvl w:val="0"/>
          <w:numId w:val="1001"/>
        </w:numPr>
        <w:pStyle w:val="Compact"/>
      </w:pPr>
      <w:r>
        <w:rPr>
          <w:bCs/>
          <w:b/>
        </w:rPr>
        <w:t xml:space="preserve">Jurisdiction:</w:t>
      </w:r>
      <w:r>
        <w:t xml:space="preserve"> </w:t>
      </w:r>
      <w:r>
        <w:t xml:space="preserve">All services described in this Quotation Estimate shall be performed within the municipality of Amsterdam, Netherlands, and governed by the laws of the Kingdom of the Netherlands.</w:t>
      </w:r>
    </w:p>
    <w:p>
      <w:pPr>
        <w:numPr>
          <w:ilvl w:val="0"/>
          <w:numId w:val="1001"/>
        </w:numPr>
        <w:pStyle w:val="Compact"/>
      </w:pPr>
      <w:r>
        <w:rPr>
          <w:bCs/>
          <w:b/>
        </w:rPr>
        <w:t xml:space="preserve">Confidentiality:</w:t>
      </w:r>
      <w:r>
        <w:t xml:space="preserve"> </w:t>
      </w:r>
      <w:r>
        <w:t xml:space="preserve">All parties acknowledge that the proceedings and the Judge's deliberations are strictly confidential under Article 1074 of the Dutch Code of Civil Procedure. This Quotation Estimate and all associated documents are subject to the same confidentiality obligations.</w:t>
      </w:r>
    </w:p>
    <w:p>
      <w:pPr>
        <w:numPr>
          <w:ilvl w:val="0"/>
          <w:numId w:val="1001"/>
        </w:numPr>
        <w:pStyle w:val="Compact"/>
      </w:pPr>
      <w:r>
        <w:rPr>
          <w:bCs/>
          <w:b/>
        </w:rPr>
        <w:t xml:space="preserve">Cancellation:</w:t>
      </w:r>
      <w:r>
        <w:t xml:space="preserve"> </w:t>
      </w:r>
      <w:r>
        <w:t xml:space="preserve">Cancellation by the client more than fourteen (14) days before the scheduled hearing date incurs a fee of 25% of the total. Cancellation within fourteen days incurs a fee of 75%. Cancellation on the day of the hearing is non-refundable.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 Netherlands Amsterdam region.</w:t>
      </w:r>
    </w:p>
    <w:bookmarkEnd w:id="23"/>
    <w:bookmarkStart w:id="24" w:name="acceptance-and-authorisation"/>
    <w:p>
      <w:pPr>
        <w:pStyle w:val="Heading2"/>
      </w:pPr>
      <w:r>
        <w:t xml:space="preserve">4. Acceptance and Authorisation</w:t>
      </w:r>
    </w:p>
    <w:p>
      <w:pPr>
        <w:pStyle w:val="FirstParagraph"/>
      </w:pPr>
      <w:r>
        <w:t xml:space="preserve">By signing below, the client confirms acceptance of this Quotation Estimate for the provision of Judge services and associated courtroom arrangements in Netherlands Amsterdam. The engagement of the Judge shall commence upon receipt of the 40% deposit and written confirmation of the hearing date by both parties.</w:t>
      </w:r>
    </w:p>
    <w:p>
      <w:pPr>
        <w:pStyle w:val="BodyText"/>
      </w:pPr>
      <w:r>
        <w:rPr>
          <w:bCs/>
          <w:b/>
        </w:rPr>
        <w:t xml:space="preserve">For and on behalf of Amsterdam Legal Services B.V.:</w:t>
      </w:r>
    </w:p>
    <w:p>
      <w:pPr>
        <w:pStyle w:val="BodyText"/>
      </w:pPr>
      <w:r>
        <w:t xml:space="preserve">Name: Dr. Hendrik van der Berg</w:t>
      </w:r>
      <w:r>
        <w:br/>
      </w:r>
      <w:r>
        <w:t xml:space="preserve">Title: Managing Director</w:t>
      </w:r>
      <w:r>
        <w:br/>
      </w:r>
      <w:r>
        <w:t xml:space="preserve">Signature &amp; Date: _________________________</w:t>
      </w:r>
    </w:p>
    <w:p>
      <w:pPr>
        <w:pStyle w:val="BodyText"/>
      </w:pPr>
      <w:r>
        <w:rPr>
          <w:bCs/>
          <w:b/>
        </w:rPr>
        <w:t xml:space="preserve">For and on behalf of the Client (Rechtbank Noord-Holland):</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This Quotation Estimate (Ref. QE-2025-AMST-0472) is issued exclusively for the matter referenced above and is not transferable.</w:t>
      </w:r>
      <w:r>
        <w:t xml:space="preserve"> </w:t>
      </w:r>
      <w:r>
        <w:t xml:space="preserve">Amsterdam Legal Services B.V. — KvK 34567890 — BTW NL854321987B01 — Herengracht 420, 1017 BZ Amsterdam, The Netherlands.</w:t>
      </w:r>
      <w:r>
        <w:br/>
      </w:r>
      <w:r>
        <w:t xml:space="preserve">This document was prepared in accordance with Dutch commercial law and the regulations governing judicial proceedings in the Netherlands Amsterdam district.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Netherlands Amsterdam</dc:title>
  <dc:creator/>
  <dc:language>en</dc:language>
  <cp:keywords/>
  <dcterms:created xsi:type="dcterms:W3CDTF">2026-10-10T02:33:56Z</dcterms:created>
  <dcterms:modified xsi:type="dcterms:W3CDTF">2026-10-10T02:33:56Z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