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System</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Judge Judicial Management System — Professional Legal Software Solution</w:t>
      </w:r>
    </w:p>
    <w:p>
      <w:pPr>
        <w:pStyle w:val="BodyText"/>
      </w:pPr>
      <w:r>
        <w:t xml:space="preserve">Prepared for the Judicial District of Peru Lima</w:t>
      </w:r>
    </w:p>
    <w:p>
      <w:pPr>
        <w:pStyle w:val="BodyText"/>
      </w:pPr>
      <w:r>
        <w:t xml:space="preserve">Document Reference: QE-JUDGE-LIMA-2025-0047</w:t>
      </w:r>
    </w:p>
    <w:bookmarkEnd w:id="20"/>
    <w:p>
      <w:pPr>
        <w:pStyle w:val="BodyText"/>
      </w:pPr>
      <w:r>
        <w:rPr>
          <w:bCs/>
          <w:b/>
        </w:rPr>
        <w:t xml:space="preserve">Date of Issue:</w:t>
      </w:r>
      <w:r>
        <w:t xml:space="preserve"> </w:t>
      </w:r>
      <w:r>
        <w:t xml:space="preserve">June 15, 2025</w:t>
      </w:r>
      <w:r>
        <w:br/>
      </w:r>
      <w:r>
        <w:rPr>
          <w:bCs/>
          <w:b/>
        </w:rPr>
        <w:t xml:space="preserve">Quotation Validity:</w:t>
      </w:r>
      <w:r>
        <w:t xml:space="preserve"> </w:t>
      </w:r>
      <w:r>
        <w:t xml:space="preserve">60 calendar days</w:t>
      </w:r>
      <w:r>
        <w:br/>
      </w:r>
      <w:r>
        <w:rPr>
          <w:bCs/>
          <w:b/>
        </w:rPr>
        <w:t xml:space="preserve">Prepared By:</w:t>
      </w:r>
      <w:r>
        <w:t xml:space="preserve"> </w:t>
      </w:r>
      <w:r>
        <w:t xml:space="preserve">Andean Legal Technologies S.A.C.</w:t>
      </w:r>
    </w:p>
    <w:p>
      <w:pPr>
        <w:pStyle w:val="BodyText"/>
      </w:pPr>
      <w:r>
        <w:rPr>
          <w:bCs/>
          <w:b/>
        </w:rPr>
        <w:t xml:space="preserve">Client:</w:t>
      </w:r>
      <w:r>
        <w:t xml:space="preserve"> </w:t>
      </w:r>
      <w:r>
        <w:t xml:space="preserve">Poder Judicial del Perú</w:t>
      </w:r>
      <w:r>
        <w:br/>
      </w:r>
      <w:r>
        <w:rPr>
          <w:bCs/>
          <w:b/>
        </w:rPr>
        <w:t xml:space="preserve">Location:</w:t>
      </w:r>
      <w:r>
        <w:t xml:space="preserve"> </w:t>
      </w:r>
      <w:r>
        <w:t xml:space="preserve">Lima, Peru</w:t>
      </w:r>
      <w:r>
        <w:br/>
      </w:r>
      <w:r>
        <w:rPr>
          <w:bCs/>
          <w:b/>
        </w:rPr>
        <w:t xml:space="preserve">Contact:</w:t>
      </w:r>
      <w:r>
        <w:t xml:space="preserve"> </w:t>
      </w:r>
      <w:r>
        <w:t xml:space="preserve">Dirección de Modernización Judicial</w:t>
      </w:r>
      <w:r>
        <w:br/>
      </w:r>
      <w:r>
        <w:rPr>
          <w:bCs/>
          <w:b/>
        </w:rPr>
        <w:t xml:space="preserve">Address:</w:t>
      </w:r>
      <w:r>
        <w:t xml:space="preserve"> </w:t>
      </w:r>
      <w:r>
        <w:t xml:space="preserve">Av. Javier Prado Este 4795, San Isidro, Lima 15075</w:t>
      </w:r>
    </w:p>
    <w:bookmarkStart w:id="21" w:name="X0c7581080508d578c26b6d8dfd726c7e3ca5cc9"/>
    <w:p>
      <w:pPr>
        <w:pStyle w:val="Heading2"/>
      </w:pPr>
      <w:r>
        <w:t xml:space="preserve">1. Purpose and Scope of This Quotation Estimate</w:t>
      </w:r>
    </w:p>
    <w:p>
      <w:pPr>
        <w:pStyle w:val="FirstParagraph"/>
      </w:pPr>
      <w:r>
        <w:t xml:space="preserve">This Quotation Estimate is formally issued by Andean Legal Technologies S.A.C. to provide a comprehensive cost breakdown for the design, deployment, and ongoing maintenance of the</w:t>
      </w:r>
      <w:r>
        <w:t xml:space="preserve"> </w:t>
      </w:r>
      <w:r>
        <w:rPr>
          <w:bCs/>
          <w:b/>
        </w:rPr>
        <w:t xml:space="preserve">Judge</w:t>
      </w:r>
      <w:r>
        <w:t xml:space="preserve"> </w:t>
      </w:r>
      <w:r>
        <w:t xml:space="preserve">Judicial Management System, a specialized software platform developed exclusively for the courts and judicial offices operating within the metropolitan area of</w:t>
      </w:r>
      <w:r>
        <w:t xml:space="preserve"> </w:t>
      </w:r>
      <w:r>
        <w:rPr>
          <w:bCs/>
          <w:b/>
        </w:rPr>
        <w:t xml:space="preserve">Peru Lima</w:t>
      </w:r>
      <w:r>
        <w:t xml:space="preserve">. The Judge system is engineered to streamline case management, digital evidence handling, scheduling of hearings, and automated generation of judicial rulings for all levels of the Peruvian judiciary in the Lima region, including the Corte Superior de Justicia de Lima, the Juzgados de Primera Instancia, and the Juzgados de Paz Letrado.</w:t>
      </w:r>
    </w:p>
    <w:p>
      <w:pPr>
        <w:pStyle w:val="BodyText"/>
      </w:pPr>
      <w:r>
        <w:t xml:space="preserve">This Quotation Estimate encompasses all hardware, software licensing, implementation services, training programs, and a three-year technical support contract. All pricing is expressed in Peruvian Soles (PEN) and is subject to the applicable Impuesto General a las Ventas (IGV) of 18% as mandated by the Superintendencia Nacional de Aduanas y de Administración Tributaria (SUNAT) of Peru.</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Price (PEN)</w:t>
            </w:r>
          </w:p>
        </w:tc>
        <w:tc>
          <w:tcPr/>
          <w:p>
            <w:pPr>
              <w:pStyle w:val="Compact"/>
              <w:jc w:val="left"/>
            </w:pPr>
            <w:r>
              <w:t xml:space="preserve">Subtotal (PEN)</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Judge Core Platform License (Perpetual) — Full judicial case management module for Peru Lima courts</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c>
          <w:tcPr/>
          <w:p>
            <w:pPr>
              <w:pStyle w:val="Compact"/>
              <w:jc w:val="left"/>
            </w:pPr>
            <w:r>
              <w:t xml:space="preserve">Covers 120 judicial offices in Lima</w:t>
            </w:r>
          </w:p>
        </w:tc>
      </w:tr>
      <w:tr>
        <w:tc>
          <w:tcPr/>
          <w:p>
            <w:pPr>
              <w:pStyle w:val="Compact"/>
              <w:jc w:val="left"/>
            </w:pPr>
            <w:r>
              <w:t xml:space="preserve">2</w:t>
            </w:r>
          </w:p>
        </w:tc>
        <w:tc>
          <w:tcPr/>
          <w:p>
            <w:pPr>
              <w:pStyle w:val="Compact"/>
              <w:jc w:val="left"/>
            </w:pPr>
            <w:r>
              <w:t xml:space="preserve">Judge Digital Evidence Module — Secure chain-of-custody and forensic file management</w:t>
            </w:r>
          </w:p>
        </w:tc>
        <w:tc>
          <w:tcPr/>
          <w:p>
            <w:pPr>
              <w:pStyle w:val="Compact"/>
              <w:jc w:val="left"/>
            </w:pPr>
            <w:r>
              <w:t xml:space="preserve">1</w:t>
            </w:r>
          </w:p>
        </w:tc>
        <w:tc>
          <w:tcPr/>
          <w:p>
            <w:pPr>
              <w:pStyle w:val="Compact"/>
              <w:jc w:val="left"/>
            </w:pPr>
            <w:r>
              <w:t xml:space="preserve">620,000.00</w:t>
            </w:r>
          </w:p>
        </w:tc>
        <w:tc>
          <w:tcPr/>
          <w:p>
            <w:pPr>
              <w:pStyle w:val="Compact"/>
              <w:jc w:val="left"/>
            </w:pPr>
            <w:r>
              <w:t xml:space="preserve">620,000.00</w:t>
            </w:r>
          </w:p>
        </w:tc>
        <w:tc>
          <w:tcPr/>
          <w:p>
            <w:pPr>
              <w:pStyle w:val="Compact"/>
              <w:jc w:val="left"/>
            </w:pPr>
            <w:r>
              <w:t xml:space="preserve">Compliant with Ley Nº 30076</w:t>
            </w:r>
          </w:p>
        </w:tc>
      </w:tr>
      <w:tr>
        <w:tc>
          <w:tcPr/>
          <w:p>
            <w:pPr>
              <w:pStyle w:val="Compact"/>
              <w:jc w:val="left"/>
            </w:pPr>
            <w:r>
              <w:t xml:space="preserve">3</w:t>
            </w:r>
          </w:p>
        </w:tc>
        <w:tc>
          <w:tcPr/>
          <w:p>
            <w:pPr>
              <w:pStyle w:val="Compact"/>
              <w:jc w:val="left"/>
            </w:pPr>
            <w:r>
              <w:t xml:space="preserve">Judge Scheduling &amp; Hearing Coordination Module</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c>
          <w:tcPr/>
          <w:p>
            <w:pPr>
              <w:pStyle w:val="Compact"/>
              <w:jc w:val="left"/>
            </w:pPr>
            <w:r>
              <w:t xml:space="preserve">Integration with existing CEX system</w:t>
            </w:r>
          </w:p>
        </w:tc>
      </w:tr>
      <w:tr>
        <w:tc>
          <w:tcPr/>
          <w:p>
            <w:pPr>
              <w:pStyle w:val="Compact"/>
              <w:jc w:val="left"/>
            </w:pPr>
            <w:r>
              <w:t xml:space="preserve">4</w:t>
            </w:r>
          </w:p>
        </w:tc>
        <w:tc>
          <w:tcPr/>
          <w:p>
            <w:pPr>
              <w:pStyle w:val="Compact"/>
              <w:jc w:val="left"/>
            </w:pPr>
            <w:r>
              <w:t xml:space="preserve">Server Infrastructure (On-premise, Lima Data Center) — 4x Rack servers, storage array, network switches</w:t>
            </w:r>
          </w:p>
        </w:tc>
        <w:tc>
          <w:tcPr/>
          <w:p>
            <w:pPr>
              <w:pStyle w:val="Compact"/>
              <w:jc w:val="left"/>
            </w:pPr>
            <w:r>
              <w:t xml:space="preserve">1</w:t>
            </w:r>
          </w:p>
        </w:tc>
        <w:tc>
          <w:tcPr/>
          <w:p>
            <w:pPr>
              <w:pStyle w:val="Compact"/>
              <w:jc w:val="left"/>
            </w:pPr>
            <w:r>
              <w:t xml:space="preserve">940,000.00</w:t>
            </w:r>
          </w:p>
        </w:tc>
        <w:tc>
          <w:tcPr/>
          <w:p>
            <w:pPr>
              <w:pStyle w:val="Compact"/>
              <w:jc w:val="left"/>
            </w:pPr>
            <w:r>
              <w:t xml:space="preserve">940,000.00</w:t>
            </w:r>
          </w:p>
        </w:tc>
        <w:tc>
          <w:tcPr/>
          <w:p>
            <w:pPr>
              <w:pStyle w:val="Compact"/>
              <w:jc w:val="left"/>
            </w:pPr>
            <w:r>
              <w:t xml:space="preserve">Deployed at San Isidro facility</w:t>
            </w:r>
          </w:p>
        </w:tc>
      </w:tr>
      <w:tr>
        <w:tc>
          <w:tcPr/>
          <w:p>
            <w:pPr>
              <w:pStyle w:val="Compact"/>
              <w:jc w:val="left"/>
            </w:pPr>
            <w:r>
              <w:t xml:space="preserve">5</w:t>
            </w:r>
          </w:p>
        </w:tc>
        <w:tc>
          <w:tcPr/>
          <w:p>
            <w:pPr>
              <w:pStyle w:val="Compact"/>
              <w:jc w:val="left"/>
            </w:pPr>
            <w:r>
              <w:t xml:space="preserve">Implementation &amp; Configuration Services — Data migration, workflow customization for Peru Lima procedures</w:t>
            </w:r>
          </w:p>
        </w:tc>
        <w:tc>
          <w:tcPr/>
          <w:p>
            <w:pPr>
              <w:pStyle w:val="Compact"/>
              <w:jc w:val="left"/>
            </w:pPr>
            <w:r>
              <w:t xml:space="preserve">1</w:t>
            </w:r>
          </w:p>
        </w:tc>
        <w:tc>
          <w:tcPr/>
          <w:p>
            <w:pPr>
              <w:pStyle w:val="Compact"/>
              <w:jc w:val="left"/>
            </w:pPr>
            <w:r>
              <w:t xml:space="preserve">560,000.00</w:t>
            </w:r>
          </w:p>
        </w:tc>
        <w:tc>
          <w:tcPr/>
          <w:p>
            <w:pPr>
              <w:pStyle w:val="Compact"/>
              <w:jc w:val="left"/>
            </w:pPr>
            <w:r>
              <w:t xml:space="preserve">560,000.00</w:t>
            </w:r>
          </w:p>
        </w:tc>
        <w:tc>
          <w:tcPr/>
          <w:p>
            <w:pPr>
              <w:pStyle w:val="Compact"/>
              <w:jc w:val="left"/>
            </w:pPr>
            <w:r>
              <w:t xml:space="preserve">12-week deployment window</w:t>
            </w:r>
          </w:p>
        </w:tc>
      </w:tr>
      <w:tr>
        <w:tc>
          <w:tcPr/>
          <w:p>
            <w:pPr>
              <w:pStyle w:val="Compact"/>
              <w:jc w:val="left"/>
            </w:pPr>
            <w:r>
              <w:t xml:space="preserve">6</w:t>
            </w:r>
          </w:p>
        </w:tc>
        <w:tc>
          <w:tcPr/>
          <w:p>
            <w:pPr>
              <w:pStyle w:val="Compact"/>
              <w:jc w:val="left"/>
            </w:pPr>
            <w:r>
              <w:t xml:space="preserve">Training Program — 400 judicial staff (judges, secretaries, bailiffs) in Lima</w:t>
            </w:r>
          </w:p>
        </w:tc>
        <w:tc>
          <w:tcPr/>
          <w:p>
            <w:pPr>
              <w:pStyle w:val="Compact"/>
              <w:jc w:val="left"/>
            </w:pPr>
            <w:r>
              <w:t xml:space="preserve">1</w:t>
            </w:r>
          </w:p>
        </w:tc>
        <w:tc>
          <w:tcPr/>
          <w:p>
            <w:pPr>
              <w:pStyle w:val="Compact"/>
              <w:jc w:val="left"/>
            </w:pPr>
            <w:r>
              <w:t xml:space="preserve">280,000.00</w:t>
            </w:r>
          </w:p>
        </w:tc>
        <w:tc>
          <w:tcPr/>
          <w:p>
            <w:pPr>
              <w:pStyle w:val="Compact"/>
              <w:jc w:val="left"/>
            </w:pPr>
            <w:r>
              <w:t xml:space="preserve">280,000.00</w:t>
            </w:r>
          </w:p>
        </w:tc>
        <w:tc>
          <w:tcPr/>
          <w:p>
            <w:pPr>
              <w:pStyle w:val="Compact"/>
              <w:jc w:val="left"/>
            </w:pPr>
            <w:r>
              <w:t xml:space="preserve">Includes printed manuals in Spanish</w:t>
            </w:r>
          </w:p>
        </w:tc>
      </w:tr>
      <w:tr>
        <w:tc>
          <w:tcPr/>
          <w:p>
            <w:pPr>
              <w:pStyle w:val="Compact"/>
              <w:jc w:val="left"/>
            </w:pPr>
            <w:r>
              <w:t xml:space="preserve">7</w:t>
            </w:r>
          </w:p>
        </w:tc>
        <w:tc>
          <w:tcPr/>
          <w:p>
            <w:pPr>
              <w:pStyle w:val="Compact"/>
              <w:jc w:val="left"/>
            </w:pPr>
            <w:r>
              <w:t xml:space="preserve">Annual Technical Support &amp; Updates (3-year contract)</w:t>
            </w:r>
          </w:p>
        </w:tc>
        <w:tc>
          <w:tcPr/>
          <w:p>
            <w:pPr>
              <w:pStyle w:val="Compact"/>
              <w:jc w:val="left"/>
            </w:pPr>
            <w:r>
              <w:t xml:space="preserve">3</w:t>
            </w:r>
          </w:p>
        </w:tc>
        <w:tc>
          <w:tcPr/>
          <w:p>
            <w:pPr>
              <w:pStyle w:val="Compact"/>
              <w:jc w:val="left"/>
            </w:pPr>
            <w:r>
              <w:t xml:space="preserve">195,000.00</w:t>
            </w:r>
          </w:p>
        </w:tc>
        <w:tc>
          <w:tcPr/>
          <w:p>
            <w:pPr>
              <w:pStyle w:val="Compact"/>
              <w:jc w:val="left"/>
            </w:pPr>
            <w:r>
              <w:t xml:space="preserve">585,000.00</w:t>
            </w:r>
          </w:p>
        </w:tc>
        <w:tc>
          <w:tcPr/>
          <w:p>
            <w:pPr>
              <w:pStyle w:val="Compact"/>
              <w:jc w:val="left"/>
            </w:pPr>
            <w:r>
              <w:t xml:space="preserve">24/7 support, quarterly patches</w:t>
            </w:r>
          </w:p>
        </w:tc>
      </w:tr>
      <w:tr>
        <w:tc>
          <w:tcPr/>
          <w:p>
            <w:pPr>
              <w:pStyle w:val="Compact"/>
              <w:jc w:val="left"/>
            </w:pPr>
            <w:r>
              <w:t xml:space="preserve">8</w:t>
            </w:r>
          </w:p>
        </w:tc>
        <w:tc>
          <w:tcPr/>
          <w:p>
            <w:pPr>
              <w:pStyle w:val="Compact"/>
              <w:jc w:val="left"/>
            </w:pPr>
            <w:r>
              <w:t xml:space="preserve">Security Audit &amp; Penetration Testing (Initial)</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c>
          <w:tcPr/>
          <w:p>
            <w:pPr>
              <w:pStyle w:val="Compact"/>
              <w:jc w:val="left"/>
            </w:pPr>
            <w:r>
              <w:t xml:space="preserve">Per INDECOPI data protection standards</w:t>
            </w:r>
          </w:p>
        </w:tc>
      </w:tr>
      <w:tr>
        <w:tc>
          <w:tcPr>
            <w:gridSpan w:val="4"/>
          </w:tcPr>
          <w:p>
            <w:pPr>
              <w:pStyle w:val="Compact"/>
              <w:jc w:val="left"/>
            </w:pPr>
            <w:r>
              <w:t xml:space="preserve">SUBTOTAL (Before IGV)</w:t>
            </w:r>
          </w:p>
        </w:tc>
        <w:tc>
          <w:tcPr/>
          <w:p>
            <w:pPr>
              <w:pStyle w:val="Compact"/>
              <w:jc w:val="left"/>
            </w:pPr>
            <w:r>
              <w:t xml:space="preserve">5,340,000.00</w:t>
            </w:r>
          </w:p>
        </w:tc>
        <w:tc>
          <w:tcPr/>
          <w:p>
            <w:pPr>
              <w:pStyle w:val="Compact"/>
            </w:pPr>
          </w:p>
        </w:tc>
      </w:tr>
      <w:tr>
        <w:tc>
          <w:tcPr>
            <w:gridSpan w:val="4"/>
          </w:tcPr>
          <w:p>
            <w:pPr>
              <w:pStyle w:val="Compact"/>
              <w:jc w:val="left"/>
            </w:pPr>
            <w:r>
              <w:t xml:space="preserve">IGV (18%)</w:t>
            </w:r>
          </w:p>
        </w:tc>
        <w:tc>
          <w:tcPr/>
          <w:p>
            <w:pPr>
              <w:pStyle w:val="Compact"/>
              <w:jc w:val="left"/>
            </w:pPr>
            <w:r>
              <w:t xml:space="preserve">961,200.00</w:t>
            </w:r>
          </w:p>
        </w:tc>
        <w:tc>
          <w:tcPr/>
          <w:p>
            <w:pPr>
              <w:pStyle w:val="Compact"/>
            </w:pPr>
          </w:p>
        </w:tc>
      </w:tr>
      <w:tr>
        <w:tc>
          <w:tcPr>
            <w:gridSpan w:val="4"/>
          </w:tcPr>
          <w:p>
            <w:pPr>
              <w:pStyle w:val="Compact"/>
              <w:jc w:val="left"/>
            </w:pPr>
            <w:r>
              <w:t xml:space="preserve">TOTAL AMOUNT DUE (PEN)</w:t>
            </w:r>
          </w:p>
        </w:tc>
        <w:tc>
          <w:tcPr/>
          <w:p>
            <w:pPr>
              <w:pStyle w:val="Compact"/>
              <w:jc w:val="left"/>
            </w:pPr>
            <w:r>
              <w:t xml:space="preserve">6,301,200.00</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sixty (60) calendar days from the date of issue. After this period, all prices are subject to revision due to market fluctuations in hardware components and currency exchange rates affecting imported software components.</w:t>
      </w:r>
    </w:p>
    <w:p>
      <w:pPr>
        <w:numPr>
          <w:ilvl w:val="0"/>
          <w:numId w:val="1001"/>
        </w:numPr>
        <w:pStyle w:val="Compact"/>
      </w:pPr>
      <w:r>
        <w:rPr>
          <w:bCs/>
          <w:b/>
        </w:rPr>
        <w:t xml:space="preserve">Payment Schedule:</w:t>
      </w:r>
      <w:r>
        <w:t xml:space="preserve"> </w:t>
      </w:r>
      <w:r>
        <w:t xml:space="preserve">30% upon contract signing, 40% upon successful deployment of the Judge system in the pilot courts of Lima, and 30% upon final acceptance and completion of the training program. All payments shall be made via bank transfer to the account designated by Andean Legal Technologies S.A.C., RUC 20601234567, Banco de Crédito del Perú, Cta. Cte. Nº 194-12345678-05-123.</w:t>
      </w:r>
    </w:p>
    <w:p>
      <w:pPr>
        <w:numPr>
          <w:ilvl w:val="0"/>
          <w:numId w:val="1001"/>
        </w:numPr>
        <w:pStyle w:val="Compact"/>
      </w:pPr>
      <w:r>
        <w:rPr>
          <w:bCs/>
          <w:b/>
        </w:rPr>
        <w:t xml:space="preserve">Delivery and Deployment:</w:t>
      </w:r>
      <w:r>
        <w:t xml:space="preserve"> </w:t>
      </w:r>
      <w:r>
        <w:t xml:space="preserve">The Judge system shall be fully operational in all designated Peru Lima judicial offices within twelve (12) weeks from the date of contract execution. Hardware delivery to the Lima data center is estimated at four (4) weeks from order confirmation.</w:t>
      </w:r>
    </w:p>
    <w:p>
      <w:pPr>
        <w:numPr>
          <w:ilvl w:val="0"/>
          <w:numId w:val="1001"/>
        </w:numPr>
        <w:pStyle w:val="Compact"/>
      </w:pPr>
      <w:r>
        <w:rPr>
          <w:bCs/>
          <w:b/>
        </w:rPr>
        <w:t xml:space="preserve">Warranty:</w:t>
      </w:r>
      <w:r>
        <w:t xml:space="preserve"> </w:t>
      </w:r>
      <w:r>
        <w:t xml:space="preserve">All hardware components carry a standard 36-month manufacturer warranty. The Judge software platform includes a 12-month defect liability period from the date of final acceptance.</w:t>
      </w:r>
    </w:p>
    <w:p>
      <w:pPr>
        <w:numPr>
          <w:ilvl w:val="0"/>
          <w:numId w:val="1001"/>
        </w:numPr>
        <w:pStyle w:val="Compact"/>
      </w:pPr>
      <w:r>
        <w:rPr>
          <w:bCs/>
          <w:b/>
        </w:rPr>
        <w:t xml:space="preserve">Intellectual Property:</w:t>
      </w:r>
      <w:r>
        <w:t xml:space="preserve"> </w:t>
      </w:r>
      <w:r>
        <w:t xml:space="preserve">All proprietary code, documentation, and configurations of the Judge system remain the exclusive intellectual property of Andean Legal Technologies S.A.C. The client in Peru Lima receives a non-transferable, non-exclusive license for internal judicial use.</w:t>
      </w:r>
    </w:p>
    <w:p>
      <w:pPr>
        <w:numPr>
          <w:ilvl w:val="0"/>
          <w:numId w:val="1001"/>
        </w:numPr>
        <w:pStyle w:val="Compact"/>
      </w:pPr>
      <w:r>
        <w:rPr>
          <w:bCs/>
          <w:b/>
        </w:rPr>
        <w:t xml:space="preserve">Confidentiality:</w:t>
      </w:r>
      <w:r>
        <w:t xml:space="preserve"> </w:t>
      </w:r>
      <w:r>
        <w:t xml:space="preserve">Both parties agree to maintain strict confidentiality regarding all judicial data processed through the Judge system, in full compliance with the Ley de Protección de Datos Personales (Ley Nº 29733) of Peru.</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Republic of Peru. Any disputes shall be resolved by the competent courts of Lima, Peru, or by arbitration before the Centro de Arbitraje y Conciliación de la Cámara de Comercio de Lima, at the option of the client.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decrees, or systemic internet outages affecting the Lima metropolitan area.</w:t>
      </w:r>
    </w:p>
    <w:bookmarkEnd w:id="23"/>
    <w:bookmarkStart w:id="24" w:name="acceptance-and-authorization"/>
    <w:p>
      <w:pPr>
        <w:pStyle w:val="Heading2"/>
      </w:pPr>
      <w:r>
        <w:t xml:space="preserve">4. Acceptance and Authorization</w:t>
      </w:r>
    </w:p>
    <w:p>
      <w:pPr>
        <w:pStyle w:val="FirstParagraph"/>
      </w:pPr>
      <w:r>
        <w:t xml:space="preserve">By signing below, the authorized representative of the Poder Judicial del Perú acknowledges receipt of this Quotation Estimate for the Judge Judicial Management System and agrees to the terms, pricing, and conditions outlined herein. This signature constitutes a binding acceptance of the Quotation Estimate and authorizes Andean Legal Technologies S.A.C. to proceed with procurement and deployment in Peru Lima.</w:t>
      </w:r>
    </w:p>
    <w:p>
      <w:pPr>
        <w:pStyle w:val="BodyText"/>
      </w:pPr>
      <w:r>
        <w:rPr>
          <w:bCs/>
          <w:b/>
        </w:rPr>
        <w:t xml:space="preserve">For Andean Legal Technologies S.A.C.</w:t>
      </w:r>
      <w:r>
        <w:br/>
      </w:r>
      <w:r>
        <w:t xml:space="preserve">Name: Ing. Ricardo Mendoza Salazar</w:t>
      </w:r>
      <w:r>
        <w:br/>
      </w:r>
      <w:r>
        <w:t xml:space="preserve">Position: Director General</w:t>
      </w:r>
      <w:r>
        <w:br/>
      </w:r>
      <w:r>
        <w:t xml:space="preserve">DNI: 45678912</w:t>
      </w:r>
      <w:r>
        <w:br/>
      </w:r>
      <w:r>
        <w:t xml:space="preserve">Date: _______________</w:t>
      </w:r>
    </w:p>
    <w:p>
      <w:pPr>
        <w:pStyle w:val="BodyText"/>
      </w:pPr>
      <w:r>
        <w:rPr>
          <w:bCs/>
          <w:b/>
        </w:rPr>
        <w:t xml:space="preserve">For Poder Judicial del Perú — Lima</w:t>
      </w:r>
      <w:r>
        <w:br/>
      </w:r>
      <w:r>
        <w:t xml:space="preserve">Name: _______________________________</w:t>
      </w:r>
      <w:r>
        <w:br/>
      </w:r>
      <w:r>
        <w:t xml:space="preserve">Position: _______________________________</w:t>
      </w:r>
      <w:r>
        <w:br/>
      </w:r>
      <w:r>
        <w:t xml:space="preserve">DNI: _______________</w:t>
      </w:r>
      <w:r>
        <w:br/>
      </w:r>
      <w:r>
        <w:t xml:space="preserve">Date: _______________</w:t>
      </w:r>
    </w:p>
    <w:p>
      <w:pPr>
        <w:pStyle w:val="BodyText"/>
      </w:pPr>
      <w:r>
        <w:t xml:space="preserve">Andean Legal Technologies S.A.C. | RUC 20601234567 | Av. La Brea 1250, Miraflores, Lima, Peru</w:t>
      </w:r>
    </w:p>
    <w:p>
      <w:pPr>
        <w:pStyle w:val="BodyText"/>
      </w:pPr>
      <w:r>
        <w:t xml:space="preserve">Tel: +51 1 445-6789 | Email: quotations@andeanlegaltech.pe | This Quotation Estimate is a controlled document. Unauthorized reproduction is prohibited.</w:t>
      </w:r>
    </w:p>
    <w:p>
      <w:pPr>
        <w:pStyle w:val="BodyText"/>
      </w:pPr>
      <w:r>
        <w:t xml:space="preserve">Page 1 of 1 — QE-JUDGE-LIMA-2025-0047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System - Peru Lima</dc:title>
  <dc:creator/>
  <dc:language>en</dc:language>
  <cp:keywords/>
  <dcterms:created xsi:type="dcterms:W3CDTF">2026-10-10T03:35:59Z</dcterms:created>
  <dcterms:modified xsi:type="dcterms:W3CDTF">2026-10-10T03:35:59Z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