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Platform</w:t>
      </w:r>
      <w:r>
        <w:t xml:space="preserve"> </w:t>
      </w:r>
      <w:r>
        <w:t xml:space="preserve">-</w:t>
      </w:r>
      <w:r>
        <w:t xml:space="preserve"> </w:t>
      </w:r>
      <w:r>
        <w:t xml:space="preserve">Singapore</w:t>
      </w:r>
      <w:r>
        <w:t xml:space="preserve"> </w:t>
      </w:r>
      <w:r>
        <w:t xml:space="preserve">Singapore</w:t>
      </w:r>
    </w:p>
    <w:bookmarkStart w:id="20" w:name="X8b8d652d0bbc1dcd61803cc3631918f11bbcfa7"/>
    <w:p>
      <w:pPr>
        <w:pStyle w:val="Heading1"/>
      </w:pPr>
      <w:r>
        <w:t xml:space="preserve">Singapore Singapore Judicial Solutions Pte. Ltd.</w:t>
      </w:r>
    </w:p>
    <w:p>
      <w:pPr>
        <w:pStyle w:val="FirstParagraph"/>
      </w:pPr>
      <w:r>
        <w:t xml:space="preserve">12 Marina Boulevard, Level 28, Singapore Singapore 018982</w:t>
      </w:r>
    </w:p>
    <w:p>
      <w:pPr>
        <w:pStyle w:val="BodyText"/>
      </w:pPr>
      <w:r>
        <w:t xml:space="preserve">Tel: +65 6888 4400 | Email: quotations@sgjudicialsolutions.com.sg</w:t>
      </w:r>
    </w:p>
    <w:p>
      <w:pPr>
        <w:pStyle w:val="BodyText"/>
      </w:pPr>
      <w:r>
        <w:t xml:space="preserve">UEN: 2019334455K | GST Reg. No.: 2019334455</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QTE-SGS-2025-00472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The Hon. Chief Justice's Office, Supreme Court of Singapore Singapore</w:t>
            </w:r>
          </w:p>
        </w:tc>
      </w:tr>
      <w:tr>
        <w:tc>
          <w:tcPr/>
          <w:p>
            <w:pPr>
              <w:pStyle w:val="Compact"/>
              <w:jc w:val="left"/>
            </w:pPr>
            <w:r>
              <w:t xml:space="preserve">Project Reference</w:t>
            </w:r>
          </w:p>
        </w:tc>
        <w:tc>
          <w:tcPr/>
          <w:p>
            <w:pPr>
              <w:pStyle w:val="Compact"/>
              <w:jc w:val="left"/>
            </w:pPr>
            <w:r>
              <w:t xml:space="preserve">Judge Platform Deployment – Singapore Singapore Judiciary Modernisation Programme</w:t>
            </w:r>
          </w:p>
        </w:tc>
      </w:tr>
      <w:tr>
        <w:tc>
          <w:tcPr/>
          <w:p>
            <w:pPr>
              <w:pStyle w:val="Compact"/>
              <w:jc w:val="left"/>
            </w:pPr>
            <w:r>
              <w:t xml:space="preserve">Currency</w:t>
            </w:r>
          </w:p>
        </w:tc>
        <w:tc>
          <w:tcPr/>
          <w:p>
            <w:pPr>
              <w:pStyle w:val="Compact"/>
              <w:jc w:val="left"/>
            </w:pPr>
            <w:r>
              <w:t xml:space="preserve">Singapore Dollars (SGD)</w:t>
            </w:r>
          </w:p>
        </w:tc>
      </w:tr>
    </w:tbl>
    <w:bookmarkStart w:id="21" w:name="scope-of-work-judge-platform"/>
    <w:p>
      <w:pPr>
        <w:pStyle w:val="Heading2"/>
      </w:pPr>
      <w:r>
        <w:t xml:space="preserve">1. Scope of Work – Judge Platform</w:t>
      </w:r>
    </w:p>
    <w:p>
      <w:pPr>
        <w:pStyle w:val="FirstParagraph"/>
      </w:pPr>
      <w:r>
        <w:t xml:space="preserve">This</w:t>
      </w:r>
      <w:r>
        <w:t xml:space="preserve"> </w:t>
      </w:r>
      <w:r>
        <w:t xml:space="preserve">Quotation Estimate</w:t>
      </w:r>
      <w:r>
        <w:t xml:space="preserve"> </w:t>
      </w:r>
      <w:r>
        <w:t xml:space="preserve">is issued by Singapore Singapore Judicial Solutions Pte. Ltd. in response to the formal Request for Quotation (RFQ) issued by the Singapore Singapore Judiciary for the design, development, deployment, and ongoing maintenance of the</w:t>
      </w:r>
      <w:r>
        <w:t xml:space="preserve"> </w:t>
      </w:r>
      <w:r>
        <w:t xml:space="preserve">Judge</w:t>
      </w:r>
      <w:r>
        <w:t xml:space="preserve"> </w:t>
      </w:r>
      <w:r>
        <w:t xml:space="preserve">Case Management and Adjudication Support Platform. The</w:t>
      </w:r>
      <w:r>
        <w:t xml:space="preserve"> </w:t>
      </w:r>
      <w:r>
        <w:t xml:space="preserve">Judge</w:t>
      </w:r>
      <w:r>
        <w:t xml:space="preserve"> </w:t>
      </w:r>
      <w:r>
        <w:t xml:space="preserve">system is a comprehensive digital solution purpose-built to support judicial officers, court registrars, and legal practitioners operating within the Singapore Singapore court hierarchy, including the State Courts and the Supreme Court of Singapore Singapore.</w:t>
      </w:r>
    </w:p>
    <w:p>
      <w:pPr>
        <w:pStyle w:val="BodyText"/>
      </w:pPr>
      <w:r>
        <w:t xml:space="preserve">The</w:t>
      </w:r>
      <w:r>
        <w:t xml:space="preserve"> </w:t>
      </w:r>
      <w:r>
        <w:t xml:space="preserve">Judge</w:t>
      </w:r>
      <w:r>
        <w:t xml:space="preserve"> </w:t>
      </w:r>
      <w:r>
        <w:t xml:space="preserve">platform encompasses case docketing, evidence management, real-time hearing transcription, judgment drafting assistance, precedent search, and secure inter-court communication modules. All components are engineered to comply with the Singapore Singapore Personal Data Protection Act (PDPA), the Singapore Singapore Official Secrets Act, and the data sovereignty requirements mandated by the Infocomm Media Development Authority (IMDA) of Singapore Singapore.</w:t>
      </w:r>
    </w:p>
    <w:bookmarkEnd w:id="21"/>
    <w:bookmarkStart w:id="22" w:name="itemised-quotation-estimate-breakdown"/>
    <w:p>
      <w:pPr>
        <w:pStyle w:val="Heading2"/>
      </w:pPr>
      <w:r>
        <w:t xml:space="preserve">2. 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c>
          <w:tcPr/>
          <w:p>
            <w:pPr>
              <w:pStyle w:val="Compact"/>
              <w:jc w:val="left"/>
            </w:pPr>
            <w:r>
              <w:t xml:space="preserve">Delivery Timeline</w:t>
            </w:r>
          </w:p>
        </w:tc>
      </w:tr>
      <w:tr>
        <w:tc>
          <w:tcPr/>
          <w:p>
            <w:pPr>
              <w:pStyle w:val="Compact"/>
              <w:jc w:val="left"/>
            </w:pPr>
            <w:r>
              <w:t xml:space="preserve">1</w:t>
            </w:r>
          </w:p>
        </w:tc>
        <w:tc>
          <w:tcPr/>
          <w:p>
            <w:pPr>
              <w:pStyle w:val="Compact"/>
              <w:jc w:val="left"/>
            </w:pPr>
            <w:r>
              <w:rPr>
                <w:bCs/>
                <w:b/>
              </w:rPr>
              <w:t xml:space="preserve">Judge</w:t>
            </w:r>
            <w:r>
              <w:t xml:space="preserve"> </w:t>
            </w:r>
            <w:r>
              <w:t xml:space="preserve">Core Platform – Licensed software suite for case management, docketing, and adjudication workflow (per court node)</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Months 1–4</w:t>
            </w:r>
          </w:p>
        </w:tc>
      </w:tr>
      <w:tr>
        <w:tc>
          <w:tcPr/>
          <w:p>
            <w:pPr>
              <w:pStyle w:val="Compact"/>
              <w:jc w:val="left"/>
            </w:pPr>
            <w:r>
              <w:t xml:space="preserve">2</w:t>
            </w:r>
          </w:p>
        </w:tc>
        <w:tc>
          <w:tcPr/>
          <w:p>
            <w:pPr>
              <w:pStyle w:val="Compact"/>
              <w:jc w:val="left"/>
            </w:pPr>
            <w:r>
              <w:rPr>
                <w:bCs/>
                <w:b/>
              </w:rPr>
              <w:t xml:space="preserve">Judge</w:t>
            </w:r>
            <w:r>
              <w:t xml:space="preserve"> </w:t>
            </w:r>
            <w:r>
              <w:t xml:space="preserve">AI-Assisted Judgment Drafting Module – NLP engine trained on Singapore Singapore case law corpus</w:t>
            </w:r>
          </w:p>
        </w:tc>
        <w:tc>
          <w:tcPr/>
          <w:p>
            <w:pPr>
              <w:pStyle w:val="Compact"/>
              <w:jc w:val="left"/>
            </w:pPr>
            <w:r>
              <w:t xml:space="preserve">1</w:t>
            </w:r>
          </w:p>
        </w:tc>
        <w:tc>
          <w:tcPr/>
          <w:p>
            <w:pPr>
              <w:pStyle w:val="Compact"/>
              <w:jc w:val="left"/>
            </w:pPr>
            <w:r>
              <w:t xml:space="preserve">420,000.00</w:t>
            </w:r>
          </w:p>
        </w:tc>
        <w:tc>
          <w:tcPr/>
          <w:p>
            <w:pPr>
              <w:pStyle w:val="Compact"/>
              <w:jc w:val="left"/>
            </w:pPr>
            <w:r>
              <w:t xml:space="preserve">420,000.00</w:t>
            </w:r>
          </w:p>
        </w:tc>
        <w:tc>
          <w:tcPr/>
          <w:p>
            <w:pPr>
              <w:pStyle w:val="Compact"/>
              <w:jc w:val="left"/>
            </w:pPr>
            <w:r>
              <w:t xml:space="preserve">Months 3–6</w:t>
            </w:r>
          </w:p>
        </w:tc>
      </w:tr>
      <w:tr>
        <w:tc>
          <w:tcPr/>
          <w:p>
            <w:pPr>
              <w:pStyle w:val="Compact"/>
              <w:jc w:val="left"/>
            </w:pPr>
            <w:r>
              <w:t xml:space="preserve">3</w:t>
            </w:r>
          </w:p>
        </w:tc>
        <w:tc>
          <w:tcPr/>
          <w:p>
            <w:pPr>
              <w:pStyle w:val="Compact"/>
              <w:jc w:val="left"/>
            </w:pPr>
            <w:r>
              <w:rPr>
                <w:bCs/>
                <w:b/>
              </w:rPr>
              <w:t xml:space="preserve">Judge</w:t>
            </w:r>
            <w:r>
              <w:t xml:space="preserve"> </w:t>
            </w:r>
            <w:r>
              <w:t xml:space="preserve">Real-Time Hearing Transcription &amp; Recording System (hardware + software, per courtroom)</w:t>
            </w:r>
          </w:p>
        </w:tc>
        <w:tc>
          <w:tcPr/>
          <w:p>
            <w:pPr>
              <w:pStyle w:val="Compact"/>
              <w:jc w:val="left"/>
            </w:pPr>
            <w:r>
              <w:t xml:space="preserve">48</w:t>
            </w:r>
          </w:p>
        </w:tc>
        <w:tc>
          <w:tcPr/>
          <w:p>
            <w:pPr>
              <w:pStyle w:val="Compact"/>
              <w:jc w:val="left"/>
            </w:pPr>
            <w:r>
              <w:t xml:space="preserve">32,500.00</w:t>
            </w:r>
          </w:p>
        </w:tc>
        <w:tc>
          <w:tcPr/>
          <w:p>
            <w:pPr>
              <w:pStyle w:val="Compact"/>
              <w:jc w:val="left"/>
            </w:pPr>
            <w:r>
              <w:t xml:space="preserve">1,560,000.00</w:t>
            </w:r>
          </w:p>
        </w:tc>
        <w:tc>
          <w:tcPr/>
          <w:p>
            <w:pPr>
              <w:pStyle w:val="Compact"/>
              <w:jc w:val="left"/>
            </w:pPr>
            <w:r>
              <w:t xml:space="preserve">Months 2–5</w:t>
            </w:r>
          </w:p>
        </w:tc>
      </w:tr>
      <w:tr>
        <w:tc>
          <w:tcPr/>
          <w:p>
            <w:pPr>
              <w:pStyle w:val="Compact"/>
              <w:jc w:val="left"/>
            </w:pPr>
            <w:r>
              <w:t xml:space="preserve">4</w:t>
            </w:r>
          </w:p>
        </w:tc>
        <w:tc>
          <w:tcPr/>
          <w:p>
            <w:pPr>
              <w:pStyle w:val="Compact"/>
              <w:jc w:val="left"/>
            </w:pPr>
            <w:r>
              <w:rPr>
                <w:bCs/>
                <w:b/>
              </w:rPr>
              <w:t xml:space="preserve">Judge</w:t>
            </w:r>
            <w:r>
              <w:t xml:space="preserve"> </w:t>
            </w:r>
            <w:r>
              <w:t xml:space="preserve">Secure Cloud Infrastructure – Singapore Singapore data centre hosting (Tier IV, IMDA-certified), annual subscription</w:t>
            </w:r>
          </w:p>
        </w:tc>
        <w:tc>
          <w:tcPr/>
          <w:p>
            <w:pPr>
              <w:pStyle w:val="Compact"/>
              <w:jc w:val="left"/>
            </w:pPr>
            <w:r>
              <w:t xml:space="preserve">3</w:t>
            </w:r>
          </w:p>
        </w:tc>
        <w:tc>
          <w:tcPr/>
          <w:p>
            <w:pPr>
              <w:pStyle w:val="Compact"/>
              <w:jc w:val="left"/>
            </w:pPr>
            <w:r>
              <w:t xml:space="preserve">275,000.00</w:t>
            </w:r>
          </w:p>
        </w:tc>
        <w:tc>
          <w:tcPr/>
          <w:p>
            <w:pPr>
              <w:pStyle w:val="Compact"/>
              <w:jc w:val="left"/>
            </w:pPr>
            <w:r>
              <w:t xml:space="preserve">825,000.00</w:t>
            </w:r>
          </w:p>
        </w:tc>
        <w:tc>
          <w:tcPr/>
          <w:p>
            <w:pPr>
              <w:pStyle w:val="Compact"/>
              <w:jc w:val="left"/>
            </w:pPr>
            <w:r>
              <w:t xml:space="preserve">Months 1–3 (recurring)</w:t>
            </w:r>
          </w:p>
        </w:tc>
      </w:tr>
      <w:tr>
        <w:tc>
          <w:tcPr/>
          <w:p>
            <w:pPr>
              <w:pStyle w:val="Compact"/>
              <w:jc w:val="left"/>
            </w:pPr>
            <w:r>
              <w:t xml:space="preserve">5</w:t>
            </w:r>
          </w:p>
        </w:tc>
        <w:tc>
          <w:tcPr/>
          <w:p>
            <w:pPr>
              <w:pStyle w:val="Compact"/>
              <w:jc w:val="left"/>
            </w:pPr>
            <w:r>
              <w:rPr>
                <w:bCs/>
                <w:b/>
              </w:rPr>
              <w:t xml:space="preserve">Judge</w:t>
            </w:r>
            <w:r>
              <w:t xml:space="preserve"> </w:t>
            </w:r>
            <w:r>
              <w:t xml:space="preserve">Precedent &amp; Statute Search Engine – Integrated with Singapore Singapore Legislation Online and case law databases</w:t>
            </w:r>
          </w:p>
        </w:tc>
        <w:tc>
          <w:tcPr/>
          <w:p>
            <w:pPr>
              <w:pStyle w:val="Compact"/>
              <w:jc w:val="left"/>
            </w:pPr>
            <w:r>
              <w:t xml:space="preserve">1</w:t>
            </w:r>
          </w:p>
        </w:tc>
        <w:tc>
          <w:tcPr/>
          <w:p>
            <w:pPr>
              <w:pStyle w:val="Compact"/>
              <w:jc w:val="left"/>
            </w:pPr>
            <w:r>
              <w:t xml:space="preserve">195,000.00</w:t>
            </w:r>
          </w:p>
        </w:tc>
        <w:tc>
          <w:tcPr/>
          <w:p>
            <w:pPr>
              <w:pStyle w:val="Compact"/>
              <w:jc w:val="left"/>
            </w:pPr>
            <w:r>
              <w:t xml:space="preserve">195,000.00</w:t>
            </w:r>
          </w:p>
        </w:tc>
        <w:tc>
          <w:tcPr/>
          <w:p>
            <w:pPr>
              <w:pStyle w:val="Compact"/>
              <w:jc w:val="left"/>
            </w:pPr>
            <w:r>
              <w:t xml:space="preserve">Months 4–7</w:t>
            </w:r>
          </w:p>
        </w:tc>
      </w:tr>
      <w:tr>
        <w:tc>
          <w:tcPr/>
          <w:p>
            <w:pPr>
              <w:pStyle w:val="Compact"/>
              <w:jc w:val="left"/>
            </w:pPr>
            <w:r>
              <w:t xml:space="preserve">6</w:t>
            </w:r>
          </w:p>
        </w:tc>
        <w:tc>
          <w:tcPr/>
          <w:p>
            <w:pPr>
              <w:pStyle w:val="Compact"/>
              <w:jc w:val="left"/>
            </w:pPr>
            <w:r>
              <w:t xml:space="preserve">System Integration – Interfacing</w:t>
            </w:r>
            <w:r>
              <w:t xml:space="preserve"> </w:t>
            </w:r>
            <w:r>
              <w:rPr>
                <w:bCs/>
                <w:b/>
              </w:rPr>
              <w:t xml:space="preserve">Judge</w:t>
            </w:r>
            <w:r>
              <w:t xml:space="preserve"> </w:t>
            </w:r>
            <w:r>
              <w:t xml:space="preserve">platform with existing Singapore Singapore court legacy systems (eLitigation, eFiling)</w:t>
            </w:r>
          </w:p>
        </w:tc>
        <w:tc>
          <w:tcPr/>
          <w:p>
            <w:pPr>
              <w:pStyle w:val="Compact"/>
              <w:jc w:val="left"/>
            </w:pPr>
            <w:r>
              <w:t xml:space="preserve">1</w:t>
            </w:r>
          </w:p>
        </w:tc>
        <w:tc>
          <w:tcPr/>
          <w:p>
            <w:pPr>
              <w:pStyle w:val="Compact"/>
              <w:jc w:val="left"/>
            </w:pPr>
            <w:r>
              <w:t xml:space="preserve">310,000.00</w:t>
            </w:r>
          </w:p>
        </w:tc>
        <w:tc>
          <w:tcPr/>
          <w:p>
            <w:pPr>
              <w:pStyle w:val="Compact"/>
              <w:jc w:val="left"/>
            </w:pPr>
            <w:r>
              <w:t xml:space="preserve">310,000.00</w:t>
            </w:r>
          </w:p>
        </w:tc>
        <w:tc>
          <w:tcPr/>
          <w:p>
            <w:pPr>
              <w:pStyle w:val="Compact"/>
              <w:jc w:val="left"/>
            </w:pPr>
            <w:r>
              <w:t xml:space="preserve">Months 5–8</w:t>
            </w:r>
          </w:p>
        </w:tc>
      </w:tr>
      <w:tr>
        <w:tc>
          <w:tcPr/>
          <w:p>
            <w:pPr>
              <w:pStyle w:val="Compact"/>
              <w:jc w:val="left"/>
            </w:pPr>
            <w:r>
              <w:t xml:space="preserve">7</w:t>
            </w:r>
          </w:p>
        </w:tc>
        <w:tc>
          <w:tcPr/>
          <w:p>
            <w:pPr>
              <w:pStyle w:val="Compact"/>
              <w:jc w:val="left"/>
            </w:pPr>
            <w:r>
              <w:t xml:space="preserve">Training &amp; Capacity Building – On-site training for</w:t>
            </w:r>
            <w:r>
              <w:t xml:space="preserve"> </w:t>
            </w:r>
            <w:r>
              <w:rPr>
                <w:bCs/>
                <w:b/>
              </w:rPr>
              <w:t xml:space="preserve">Judge</w:t>
            </w:r>
            <w:r>
              <w:t xml:space="preserve"> </w:t>
            </w:r>
            <w:r>
              <w:t xml:space="preserve">platform users across Singapore Singapore courts (judges, registrars, clerks)</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c>
          <w:tcPr/>
          <w:p>
            <w:pPr>
              <w:pStyle w:val="Compact"/>
              <w:jc w:val="left"/>
            </w:pPr>
            <w:r>
              <w:t xml:space="preserve">Months 7–9</w:t>
            </w:r>
          </w:p>
        </w:tc>
      </w:tr>
      <w:tr>
        <w:tc>
          <w:tcPr/>
          <w:p>
            <w:pPr>
              <w:pStyle w:val="Compact"/>
              <w:jc w:val="left"/>
            </w:pPr>
            <w:r>
              <w:t xml:space="preserve">8</w:t>
            </w:r>
          </w:p>
        </w:tc>
        <w:tc>
          <w:tcPr/>
          <w:p>
            <w:pPr>
              <w:pStyle w:val="Compact"/>
              <w:jc w:val="left"/>
            </w:pPr>
            <w:r>
              <w:t xml:space="preserve">Ongoing Maintenance &amp; Technical Support – 3-year SLA (99.95% uptime, 24/7 support, quarterly updates)</w:t>
            </w:r>
          </w:p>
        </w:tc>
        <w:tc>
          <w:tcPr/>
          <w:p>
            <w:pPr>
              <w:pStyle w:val="Compact"/>
              <w:jc w:val="left"/>
            </w:pPr>
            <w:r>
              <w:t xml:space="preserve">3</w:t>
            </w:r>
          </w:p>
        </w:tc>
        <w:tc>
          <w:tcPr/>
          <w:p>
            <w:pPr>
              <w:pStyle w:val="Compact"/>
              <w:jc w:val="left"/>
            </w:pPr>
            <w:r>
              <w:t xml:space="preserve">198,000.00</w:t>
            </w:r>
          </w:p>
        </w:tc>
        <w:tc>
          <w:tcPr/>
          <w:p>
            <w:pPr>
              <w:pStyle w:val="Compact"/>
              <w:jc w:val="left"/>
            </w:pPr>
            <w:r>
              <w:t xml:space="preserve">594,000.00</w:t>
            </w:r>
          </w:p>
        </w:tc>
        <w:tc>
          <w:tcPr/>
          <w:p>
            <w:pPr>
              <w:pStyle w:val="Compact"/>
              <w:jc w:val="left"/>
            </w:pPr>
            <w:r>
              <w:t xml:space="preserve">Months 9–45</w:t>
            </w:r>
          </w:p>
        </w:tc>
      </w:tr>
      <w:tr>
        <w:tc>
          <w:tcPr/>
          <w:p>
            <w:pPr>
              <w:pStyle w:val="Compact"/>
              <w:jc w:val="left"/>
            </w:pPr>
            <w:r>
              <w:t xml:space="preserve">9</w:t>
            </w:r>
          </w:p>
        </w:tc>
        <w:tc>
          <w:tcPr/>
          <w:p>
            <w:pPr>
              <w:pStyle w:val="Compact"/>
              <w:jc w:val="left"/>
            </w:pPr>
            <w:r>
              <w:t xml:space="preserve">Project Management &amp; Change Oversight – Dedicated PMO team based in Singapore Singapore</w:t>
            </w:r>
          </w:p>
        </w:tc>
        <w:tc>
          <w:tcPr/>
          <w:p>
            <w:pPr>
              <w:pStyle w:val="Compact"/>
              <w:jc w:val="left"/>
            </w:pPr>
            <w:r>
              <w:t xml:space="preserve">1</w:t>
            </w:r>
          </w:p>
        </w:tc>
        <w:tc>
          <w:tcPr/>
          <w:p>
            <w:pPr>
              <w:pStyle w:val="Compact"/>
              <w:jc w:val="left"/>
            </w:pPr>
            <w:r>
              <w:t xml:space="preserve">220,000.00</w:t>
            </w:r>
          </w:p>
        </w:tc>
        <w:tc>
          <w:tcPr/>
          <w:p>
            <w:pPr>
              <w:pStyle w:val="Compact"/>
              <w:jc w:val="left"/>
            </w:pPr>
            <w:r>
              <w:t xml:space="preserve">220,000.00</w:t>
            </w:r>
          </w:p>
        </w:tc>
        <w:tc>
          <w:tcPr/>
          <w:p>
            <w:pPr>
              <w:pStyle w:val="Compact"/>
              <w:jc w:val="left"/>
            </w:pPr>
            <w:r>
              <w:t xml:space="preserve">Months 1–12</w:t>
            </w:r>
          </w:p>
        </w:tc>
      </w:tr>
      <w:tr>
        <w:tc>
          <w:tcPr>
            <w:gridSpan w:val="4"/>
          </w:tcPr>
          <w:p>
            <w:pPr>
              <w:pStyle w:val="Compact"/>
              <w:jc w:val="right"/>
            </w:pPr>
            <w:r>
              <w:t xml:space="preserve">Subtotal</w:t>
            </w:r>
          </w:p>
        </w:tc>
        <w:tc>
          <w:tcPr/>
          <w:p>
            <w:pPr>
              <w:pStyle w:val="Compact"/>
              <w:jc w:val="left"/>
            </w:pPr>
            <w:r>
              <w:t xml:space="preserve">6,689,000.00</w:t>
            </w:r>
          </w:p>
        </w:tc>
        <w:tc>
          <w:tcPr/>
          <w:p>
            <w:pPr>
              <w:pStyle w:val="Compact"/>
            </w:pPr>
          </w:p>
        </w:tc>
      </w:tr>
      <w:tr>
        <w:tc>
          <w:tcPr>
            <w:gridSpan w:val="4"/>
          </w:tcPr>
          <w:p>
            <w:pPr>
              <w:pStyle w:val="Compact"/>
              <w:jc w:val="right"/>
            </w:pPr>
            <w:r>
              <w:t xml:space="preserve">GST @ 9% (Singapore Singapore)</w:t>
            </w:r>
          </w:p>
        </w:tc>
        <w:tc>
          <w:tcPr/>
          <w:p>
            <w:pPr>
              <w:pStyle w:val="Compact"/>
              <w:jc w:val="left"/>
            </w:pPr>
            <w:r>
              <w:t xml:space="preserve">602,010.00</w:t>
            </w:r>
          </w:p>
        </w:tc>
        <w:tc>
          <w:tcPr/>
          <w:p>
            <w:pPr>
              <w:pStyle w:val="Compact"/>
            </w:pPr>
          </w:p>
        </w:tc>
      </w:tr>
      <w:tr>
        <w:tc>
          <w:tcPr>
            <w:gridSpan w:val="4"/>
          </w:tcPr>
          <w:p>
            <w:pPr>
              <w:pStyle w:val="Compact"/>
              <w:jc w:val="right"/>
            </w:pPr>
            <w:r>
              <w:t xml:space="preserve">TOTAL QUOTATION ESTIMATE</w:t>
            </w:r>
          </w:p>
        </w:tc>
        <w:tc>
          <w:tcPr/>
          <w:p>
            <w:pPr>
              <w:pStyle w:val="Compact"/>
              <w:jc w:val="left"/>
            </w:pPr>
            <w:r>
              <w:t xml:space="preserve">7,291,010.00</w:t>
            </w:r>
          </w:p>
        </w:tc>
        <w:tc>
          <w:tcPr/>
          <w:p>
            <w:pPr>
              <w:pStyle w:val="Compact"/>
            </w:pP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the validity period requires written reconfirmation from Singapore Singapore Judicial Solutions Pte. Ltd.</w:t>
      </w:r>
    </w:p>
    <w:p>
      <w:pPr>
        <w:numPr>
          <w:ilvl w:val="0"/>
          <w:numId w:val="1001"/>
        </w:numPr>
        <w:pStyle w:val="Compact"/>
      </w:pPr>
      <w:r>
        <w:t xml:space="preserve">All prices stated in this</w:t>
      </w:r>
      <w:r>
        <w:t xml:space="preserve"> </w:t>
      </w:r>
      <w:r>
        <w:t xml:space="preserve">Quotation Estimate</w:t>
      </w:r>
      <w:r>
        <w:t xml:space="preserve"> </w:t>
      </w:r>
      <w:r>
        <w:t xml:space="preserve">are in Singapore Dollars (SGD) and are inclusive of all applicable Singapore Singapore Goods and Services Tax (GST) at the prevailing rate of 9%.</w:t>
      </w:r>
    </w:p>
    <w:p>
      <w:pPr>
        <w:numPr>
          <w:ilvl w:val="0"/>
          <w:numId w:val="1001"/>
        </w:numPr>
        <w:pStyle w:val="Compact"/>
      </w:pPr>
      <w:r>
        <w:t xml:space="preserve">The</w:t>
      </w:r>
      <w:r>
        <w:t xml:space="preserve"> </w:t>
      </w:r>
      <w:r>
        <w:t xml:space="preserve">Judge</w:t>
      </w:r>
      <w:r>
        <w:t xml:space="preserve"> </w:t>
      </w:r>
      <w:r>
        <w:t xml:space="preserve">platform shall be developed, hosted, and maintained exclusively within Singapore Singapore data centres to ensure full compliance with Singapore Singapore data sovereignty and national security regulations.</w:t>
      </w:r>
    </w:p>
    <w:p>
      <w:pPr>
        <w:numPr>
          <w:ilvl w:val="0"/>
          <w:numId w:val="1001"/>
        </w:numPr>
        <w:pStyle w:val="Compact"/>
      </w:pPr>
      <w:r>
        <w:t xml:space="preserve">Payment terms: 30% upon execution of the Purchase Order, 40% upon successful User Acceptance Testing (UAT) of the</w:t>
      </w:r>
      <w:r>
        <w:t xml:space="preserve"> </w:t>
      </w:r>
      <w:r>
        <w:t xml:space="preserve">Judge</w:t>
      </w:r>
      <w:r>
        <w:t xml:space="preserve"> </w:t>
      </w:r>
      <w:r>
        <w:t xml:space="preserve">core platform, and 30% upon final go-live and handover in Singapore Singapore.</w:t>
      </w:r>
    </w:p>
    <w:p>
      <w:pPr>
        <w:numPr>
          <w:ilvl w:val="0"/>
          <w:numId w:val="1001"/>
        </w:numPr>
        <w:pStyle w:val="Compact"/>
      </w:pPr>
      <w:r>
        <w:t xml:space="preserve">Intellectual property rights for all custom-developed modules of the</w:t>
      </w:r>
      <w:r>
        <w:t xml:space="preserve"> </w:t>
      </w:r>
      <w:r>
        <w:t xml:space="preserve">Judge</w:t>
      </w:r>
      <w:r>
        <w:t xml:space="preserve"> </w:t>
      </w:r>
      <w:r>
        <w:t xml:space="preserve">system shall vest in the Singapore Singapore Judiciary upon full payment. Singapore Singapore Judicial Solutions Pte. Ltd. retains ownership of pre-existing proprietary frameworks.</w:t>
      </w:r>
    </w:p>
    <w:p>
      <w:pPr>
        <w:numPr>
          <w:ilvl w:val="0"/>
          <w:numId w:val="1001"/>
        </w:numPr>
        <w:pStyle w:val="Compact"/>
      </w:pPr>
      <w:r>
        <w:t xml:space="preserve">Warranty: A twelve (12) month defect liability period applies to all</w:t>
      </w:r>
      <w:r>
        <w:t xml:space="preserve"> </w:t>
      </w:r>
      <w:r>
        <w:t xml:space="preserve">Judge</w:t>
      </w:r>
      <w:r>
        <w:t xml:space="preserve"> </w:t>
      </w:r>
      <w:r>
        <w:t xml:space="preserve">platform components from the date of final acceptance in Singapore Singapore.</w:t>
      </w:r>
    </w:p>
    <w:p>
      <w:pPr>
        <w:numPr>
          <w:ilvl w:val="0"/>
          <w:numId w:val="1001"/>
        </w:numPr>
        <w:pStyle w:val="Compact"/>
      </w:pPr>
      <w:r>
        <w:t xml:space="preserve">Force Majeure: Neither party shall be liable for delays caused by events beyond reasonable control, including but not limited to acts of God, government directives in Singapore Singapore, or pandemics.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Purchase Order or Service Agreement is executed by both parties in Singapore Singapore.</w:t>
      </w:r>
    </w:p>
    <w:p>
      <w:pPr>
        <w:numPr>
          <w:ilvl w:val="0"/>
          <w:numId w:val="1001"/>
        </w:numPr>
        <w:pStyle w:val="Compact"/>
      </w:pPr>
      <w:r>
        <w:t xml:space="preserve">All disputes arising from this</w:t>
      </w:r>
      <w:r>
        <w:t xml:space="preserve"> </w:t>
      </w:r>
      <w:r>
        <w:t xml:space="preserve">Quotation Estimate</w:t>
      </w:r>
      <w:r>
        <w:t xml:space="preserve"> </w:t>
      </w:r>
      <w:r>
        <w:t xml:space="preserve">or the subsequent contract shall be resolved under the laws of Singapore Singapore and subject to the exclusive jurisdiction of the courts of Singapore Singapore.</w:t>
      </w:r>
    </w:p>
    <w:bookmarkEnd w:id="23"/>
    <w:bookmarkStart w:id="24" w:name="acceptance"/>
    <w:p>
      <w:pPr>
        <w:pStyle w:val="Heading2"/>
      </w:pPr>
      <w:r>
        <w:t xml:space="preserve">4. Acceptance</w:t>
      </w:r>
    </w:p>
    <w:p>
      <w:pPr>
        <w:pStyle w:val="FirstParagraph"/>
      </w:pPr>
      <w:r>
        <w:t xml:space="preserve">By signing below, the recipient acknowledges receipt of this</w:t>
      </w:r>
      <w:r>
        <w:t xml:space="preserve"> </w:t>
      </w:r>
      <w:r>
        <w:t xml:space="preserve">Quotation Estimate</w:t>
      </w:r>
      <w:r>
        <w:t xml:space="preserve"> </w:t>
      </w:r>
      <w:r>
        <w:t xml:space="preserve">for the</w:t>
      </w:r>
      <w:r>
        <w:t xml:space="preserve"> </w:t>
      </w:r>
      <w:r>
        <w:t xml:space="preserve">Judge</w:t>
      </w:r>
      <w:r>
        <w:t xml:space="preserve"> </w:t>
      </w:r>
      <w:r>
        <w:t xml:space="preserve">platform deployment in Singapore Singapore and agrees to the terms outlined herein. This signature does not constitute a binding order until a formal Purchase Order is issued.</w:t>
      </w:r>
    </w:p>
    <w:p>
      <w:pPr>
        <w:pStyle w:val="BodyText"/>
      </w:pPr>
      <w:r>
        <w:rPr>
          <w:bCs/>
          <w:b/>
        </w:rPr>
        <w:t xml:space="preserve">For Singapore Singapore Judicial Solutions Pte. Ltd.</w:t>
      </w:r>
      <w:r>
        <w:br/>
      </w:r>
      <w:r>
        <w:t xml:space="preserve">Name: Tan Wei Ming</w:t>
      </w:r>
      <w:r>
        <w:br/>
      </w:r>
      <w:r>
        <w:t xml:space="preserve">Designation: Chief Executive Officer</w:t>
      </w:r>
      <w:r>
        <w:br/>
      </w:r>
      <w:r>
        <w:t xml:space="preserve">Date: _______________</w:t>
      </w:r>
    </w:p>
    <w:p>
      <w:pPr>
        <w:pStyle w:val="BodyText"/>
      </w:pPr>
      <w:r>
        <w:rPr>
          <w:bCs/>
          <w:b/>
        </w:rPr>
        <w:t xml:space="preserve">For the Singapore Singapore Judiciary (Recipient)</w:t>
      </w:r>
      <w:r>
        <w:br/>
      </w:r>
      <w:r>
        <w:t xml:space="preserve">Name: _______________________</w:t>
      </w:r>
      <w:r>
        <w:br/>
      </w:r>
      <w:r>
        <w:t xml:space="preserve">Designation: _______________________</w:t>
      </w:r>
      <w:r>
        <w:br/>
      </w:r>
      <w:r>
        <w:t xml:space="preserve">Date: _______________</w:t>
      </w:r>
    </w:p>
    <w:p>
      <w:pPr>
        <w:pStyle w:val="BodyText"/>
      </w:pPr>
      <w:r>
        <w:rPr>
          <w:bCs/>
          <w:b/>
        </w:rPr>
        <w:t xml:space="preserve">Quotation Estimate</w:t>
      </w:r>
      <w:r>
        <w:t xml:space="preserve"> </w:t>
      </w:r>
      <w:r>
        <w:t xml:space="preserve">No. QTE-SGS-2025-00472 |</w:t>
      </w:r>
      <w:r>
        <w:t xml:space="preserve"> </w:t>
      </w:r>
      <w:r>
        <w:rPr>
          <w:bCs/>
          <w:b/>
        </w:rPr>
        <w:t xml:space="preserve">Judge</w:t>
      </w:r>
      <w:r>
        <w:t xml:space="preserve"> </w:t>
      </w:r>
      <w:r>
        <w:t xml:space="preserve">Platform | Singapore Singapore</w:t>
      </w:r>
    </w:p>
    <w:p>
      <w:pPr>
        <w:pStyle w:val="BodyText"/>
      </w:pPr>
      <w:r>
        <w:t xml:space="preserve">This document is the property of Singapore Singapore Judicial Solutions Pte. Ltd. Unauthorised reproduction or distribution is prohibited under Singapore Singapore law.</w:t>
      </w:r>
    </w:p>
    <w:p>
      <w:pPr>
        <w:pStyle w:val="BodyText"/>
      </w:pPr>
      <w:r>
        <w:t xml:space="preserve">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Platform - Singapore Singapore</dc:title>
  <dc:creator/>
  <dc:language>en</dc:language>
  <cp:keywords/>
  <dcterms:created xsi:type="dcterms:W3CDTF">2026-10-10T03:49:30Z</dcterms:created>
  <dcterms:modified xsi:type="dcterms:W3CDTF">2026-10-10T03:49:30Z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