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Judge</w:t>
      </w:r>
      <w:r>
        <w:t xml:space="preserve"> </w:t>
      </w:r>
      <w:r>
        <w:t xml:space="preserve">Services</w:t>
      </w:r>
      <w:r>
        <w:t xml:space="preserve"> </w:t>
      </w:r>
      <w:r>
        <w:t xml:space="preserve">-</w:t>
      </w:r>
      <w:r>
        <w:t xml:space="preserve"> </w:t>
      </w:r>
      <w:r>
        <w:t xml:space="preserve">Thailand</w:t>
      </w:r>
      <w:r>
        <w:t xml:space="preserve"> </w:t>
      </w:r>
      <w:r>
        <w:t xml:space="preserve">Bangkok</w:t>
      </w:r>
    </w:p>
    <w:bookmarkStart w:id="20" w:name="quotation-estimate"/>
    <w:p>
      <w:pPr>
        <w:pStyle w:val="Heading1"/>
      </w:pPr>
      <w:r>
        <w:t xml:space="preserve">QUOTATION ESTIMATE</w:t>
      </w:r>
    </w:p>
    <w:p>
      <w:pPr>
        <w:pStyle w:val="FirstParagraph"/>
      </w:pPr>
      <w:r>
        <w:t xml:space="preserve">Professional Judge Engagement Services — Thailand Bangkok</w:t>
      </w:r>
    </w:p>
    <w:bookmarkEnd w:id="20"/>
    <w:p>
      <w:pPr>
        <w:pStyle w:val="BodyText"/>
      </w:pPr>
      <w:r>
        <w:t xml:space="preserve">Quotation No.:</w:t>
      </w:r>
      <w:r>
        <w:t xml:space="preserve"> </w:t>
      </w:r>
      <w:r>
        <w:t xml:space="preserve">QTE-THB-2025-0478</w:t>
      </w:r>
      <w:r>
        <w:br/>
      </w:r>
      <w:r>
        <w:t xml:space="preserve">Date Issued:</w:t>
      </w:r>
      <w:r>
        <w:t xml:space="preserve"> </w:t>
      </w:r>
      <w:r>
        <w:t xml:space="preserve">15 June 2025</w:t>
      </w:r>
      <w:r>
        <w:br/>
      </w:r>
      <w:r>
        <w:t xml:space="preserve">Valid Until:</w:t>
      </w:r>
      <w:r>
        <w:t xml:space="preserve"> </w:t>
      </w:r>
      <w:r>
        <w:t xml:space="preserve">15 July 2025</w:t>
      </w:r>
    </w:p>
    <w:p>
      <w:pPr>
        <w:pStyle w:val="BodyText"/>
      </w:pPr>
      <w:r>
        <w:t xml:space="preserve">Prepared By:</w:t>
      </w:r>
      <w:r>
        <w:t xml:space="preserve"> </w:t>
      </w:r>
      <w:r>
        <w:t xml:space="preserve">Bangkok Event Professionals Co., Ltd.</w:t>
      </w:r>
      <w:r>
        <w:br/>
      </w:r>
      <w:r>
        <w:t xml:space="preserve">Address:</w:t>
      </w:r>
      <w:r>
        <w:t xml:space="preserve"> </w:t>
      </w:r>
      <w:r>
        <w:t xml:space="preserve">88 Sukhumvit Road, Khlong Toei,</w:t>
      </w:r>
      <w:r>
        <w:br/>
      </w:r>
      <w:r>
        <w:t xml:space="preserve">Bangkok 10110, Thailand</w:t>
      </w:r>
      <w:r>
        <w:br/>
      </w:r>
      <w:r>
        <w:t xml:space="preserve">Contact:</w:t>
      </w:r>
      <w:r>
        <w:t xml:space="preserve"> </w:t>
      </w:r>
      <w:r>
        <w:t xml:space="preserve">+66 2 255 8800 | info@bangkokeventpros.co.th</w:t>
      </w:r>
    </w:p>
    <w:p>
      <w:pPr>
        <w:pStyle w:val="BodyText"/>
      </w:pPr>
      <w:r>
        <w:t xml:space="preserve">1. 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Client Name:</w:t>
            </w:r>
            <w:r>
              <w:t xml:space="preserve"> </w:t>
            </w:r>
            <w:r>
              <w:t xml:space="preserve">Royal Bangkok International Competition Committee</w:t>
            </w:r>
          </w:p>
        </w:tc>
        <w:tc>
          <w:tcPr/>
          <w:p>
            <w:pPr>
              <w:pStyle w:val="Compact"/>
              <w:jc w:val="left"/>
            </w:pPr>
            <w:r>
              <w:t xml:space="preserve">Client Ref. No.:</w:t>
            </w:r>
            <w:r>
              <w:t xml:space="preserve"> </w:t>
            </w:r>
            <w:r>
              <w:t xml:space="preserve">RBICC-2025-0312</w:t>
            </w:r>
          </w:p>
        </w:tc>
      </w:tr>
      <w:tr>
        <w:tc>
          <w:tcPr/>
          <w:p>
            <w:pPr>
              <w:pStyle w:val="Compact"/>
              <w:jc w:val="left"/>
            </w:pPr>
            <w:r>
              <w:t xml:space="preserve">Event:</w:t>
            </w:r>
            <w:r>
              <w:t xml:space="preserve"> </w:t>
            </w:r>
            <w:r>
              <w:t xml:space="preserve">12th Annual Bangkok Excellence Awards &amp; Innovation Showcase</w:t>
            </w:r>
          </w:p>
        </w:tc>
        <w:tc>
          <w:tcPr/>
          <w:p>
            <w:pPr>
              <w:pStyle w:val="Compact"/>
              <w:jc w:val="left"/>
            </w:pPr>
            <w:r>
              <w:t xml:space="preserve">Event Date:</w:t>
            </w:r>
            <w:r>
              <w:t xml:space="preserve"> </w:t>
            </w:r>
            <w:r>
              <w:t xml:space="preserve">22–24 August 2025</w:t>
            </w:r>
          </w:p>
        </w:tc>
      </w:tr>
      <w:tr>
        <w:tc>
          <w:tcPr/>
          <w:p>
            <w:pPr>
              <w:pStyle w:val="Compact"/>
              <w:jc w:val="left"/>
            </w:pPr>
            <w:r>
              <w:t xml:space="preserve">Venue:</w:t>
            </w:r>
            <w:r>
              <w:t xml:space="preserve"> </w:t>
            </w:r>
            <w:r>
              <w:t xml:space="preserve">Queen Sirikit National Convention Centre, Bangkok, Thailand</w:t>
            </w:r>
          </w:p>
        </w:tc>
        <w:tc>
          <w:tcPr/>
          <w:p>
            <w:pPr>
              <w:pStyle w:val="Compact"/>
              <w:jc w:val="left"/>
            </w:pPr>
            <w:r>
              <w:t xml:space="preserve">Contact Person:</w:t>
            </w:r>
            <w:r>
              <w:t xml:space="preserve"> </w:t>
            </w:r>
            <w:r>
              <w:t xml:space="preserve">Ms. Ananya Chaiyaporn</w:t>
            </w:r>
          </w:p>
        </w:tc>
      </w:tr>
    </w:tbl>
    <w:p>
      <w:pPr>
        <w:pStyle w:val="BodyText"/>
      </w:pPr>
      <w:r>
        <w:t xml:space="preserve">2. Scope of Services — Judge Engagement</w:t>
      </w:r>
    </w:p>
    <w:p>
      <w:pPr>
        <w:pStyle w:val="BodyText"/>
      </w:pPr>
      <w:r>
        <w:t xml:space="preserve">This</w:t>
      </w:r>
      <w:r>
        <w:t xml:space="preserve"> </w:t>
      </w:r>
      <w:r>
        <w:t xml:space="preserve">Quotation Estimate</w:t>
      </w:r>
      <w:r>
        <w:t xml:space="preserve"> </w:t>
      </w:r>
      <w:r>
        <w:t xml:space="preserve">is issued by Bangkok Event Professionals Co., Ltd. in response to the formal request from the Royal Bangkok International Competition Committee for the engagement of qualified</w:t>
      </w:r>
      <w:r>
        <w:t xml:space="preserve"> </w:t>
      </w:r>
      <w:r>
        <w:t xml:space="preserve">Judge</w:t>
      </w:r>
      <w:r>
        <w:t xml:space="preserve"> </w:t>
      </w:r>
      <w:r>
        <w:t xml:space="preserve">panelists to oversee, evaluate, and adjudicate all categories of the 12th Annual Bangkok Excellence Awards &amp; Innovation Showcase, to be held in</w:t>
      </w:r>
      <w:r>
        <w:t xml:space="preserve"> </w:t>
      </w:r>
      <w:r>
        <w:t xml:space="preserve">Thailand Bangkok</w:t>
      </w:r>
      <w:r>
        <w:t xml:space="preserve"> </w:t>
      </w:r>
      <w:r>
        <w:t xml:space="preserve">at the Queen Sirikit National Convention Centre. The following services and deliverables are included within this estimate:</w:t>
      </w:r>
    </w:p>
    <w:p>
      <w:pPr>
        <w:numPr>
          <w:ilvl w:val="0"/>
          <w:numId w:val="1001"/>
        </w:numPr>
        <w:pStyle w:val="Compact"/>
      </w:pPr>
      <w:r>
        <w:t xml:space="preserve">Recruitment, vetting, and confirmation of a panel of no fewer than five (5) senior</w:t>
      </w:r>
      <w:r>
        <w:t xml:space="preserve"> </w:t>
      </w:r>
      <w:r>
        <w:t xml:space="preserve">Judge</w:t>
      </w:r>
      <w:r>
        <w:t xml:space="preserve"> </w:t>
      </w:r>
      <w:r>
        <w:t xml:space="preserve">professionals with recognized expertise in business innovation, creative arts, technology, and public policy relevant to the event categories.</w:t>
      </w:r>
    </w:p>
    <w:p>
      <w:pPr>
        <w:numPr>
          <w:ilvl w:val="0"/>
          <w:numId w:val="1001"/>
        </w:numPr>
        <w:pStyle w:val="Compact"/>
      </w:pPr>
      <w:r>
        <w:t xml:space="preserve">Provision of a dedicated</w:t>
      </w:r>
      <w:r>
        <w:t xml:space="preserve"> </w:t>
      </w:r>
      <w:r>
        <w:t xml:space="preserve">Judge</w:t>
      </w:r>
      <w:r>
        <w:t xml:space="preserve"> </w:t>
      </w:r>
      <w:r>
        <w:t xml:space="preserve">coordination team based in</w:t>
      </w:r>
      <w:r>
        <w:t xml:space="preserve"> </w:t>
      </w:r>
      <w:r>
        <w:t xml:space="preserve">Thailand Bangkok</w:t>
      </w:r>
      <w:r>
        <w:t xml:space="preserve"> </w:t>
      </w:r>
      <w:r>
        <w:t xml:space="preserve">to manage scheduling, briefing sessions, scoring rubrics, and real-time communication between the</w:t>
      </w:r>
      <w:r>
        <w:t xml:space="preserve"> </w:t>
      </w:r>
      <w:r>
        <w:t xml:space="preserve">Judge</w:t>
      </w:r>
      <w:r>
        <w:t xml:space="preserve"> </w:t>
      </w:r>
      <w:r>
        <w:t xml:space="preserve">panel and the event production crew throughout the three-day programme.</w:t>
      </w:r>
    </w:p>
    <w:p>
      <w:pPr>
        <w:numPr>
          <w:ilvl w:val="0"/>
          <w:numId w:val="1001"/>
        </w:numPr>
        <w:pStyle w:val="Compact"/>
      </w:pPr>
      <w:r>
        <w:t xml:space="preserve">Preparation and distribution of comprehensive</w:t>
      </w:r>
      <w:r>
        <w:t xml:space="preserve"> </w:t>
      </w:r>
      <w:r>
        <w:t xml:space="preserve">Judge</w:t>
      </w:r>
      <w:r>
        <w:t xml:space="preserve"> </w:t>
      </w:r>
      <w:r>
        <w:t xml:space="preserve">evaluation kits, including printed scoring sheets, digital scoring tablets, category-specific rubrics, and bilingual (English and Thai) reference materials, all tailored to the standards expected in a</w:t>
      </w:r>
      <w:r>
        <w:t xml:space="preserve"> </w:t>
      </w:r>
      <w:r>
        <w:t xml:space="preserve">Thailand Bangkok</w:t>
      </w:r>
      <w:r>
        <w:t xml:space="preserve"> </w:t>
      </w:r>
      <w:r>
        <w:t xml:space="preserve">international event of this calibre.</w:t>
      </w:r>
    </w:p>
    <w:p>
      <w:pPr>
        <w:numPr>
          <w:ilvl w:val="0"/>
          <w:numId w:val="1001"/>
        </w:numPr>
        <w:pStyle w:val="Compact"/>
      </w:pPr>
      <w:r>
        <w:t xml:space="preserve">Arrangement of a private</w:t>
      </w:r>
      <w:r>
        <w:t xml:space="preserve"> </w:t>
      </w:r>
      <w:r>
        <w:t xml:space="preserve">Judge</w:t>
      </w:r>
      <w:r>
        <w:t xml:space="preserve"> </w:t>
      </w:r>
      <w:r>
        <w:t xml:space="preserve">deliberation suite within the venue, equipped with high-speed internet, conference audio-visual systems, refreshments, and secure document storage to ensure the integrity and confidentiality of all</w:t>
      </w:r>
      <w:r>
        <w:t xml:space="preserve"> </w:t>
      </w:r>
      <w:r>
        <w:t xml:space="preserve">Judge</w:t>
      </w:r>
      <w:r>
        <w:t xml:space="preserve"> </w:t>
      </w:r>
      <w:r>
        <w:t xml:space="preserve">deliberations.</w:t>
      </w:r>
    </w:p>
    <w:p>
      <w:pPr>
        <w:numPr>
          <w:ilvl w:val="0"/>
          <w:numId w:val="1001"/>
        </w:numPr>
        <w:pStyle w:val="Compact"/>
      </w:pPr>
      <w:r>
        <w:t xml:space="preserve">On-site</w:t>
      </w:r>
      <w:r>
        <w:t xml:space="preserve"> </w:t>
      </w:r>
      <w:r>
        <w:t xml:space="preserve">Judge</w:t>
      </w:r>
      <w:r>
        <w:t xml:space="preserve"> </w:t>
      </w:r>
      <w:r>
        <w:t xml:space="preserve">liaison officer available from 07:00 to 23:00 on each event day to address any logistical, technical, or procedural concerns raised by the</w:t>
      </w:r>
      <w:r>
        <w:t xml:space="preserve"> </w:t>
      </w:r>
      <w:r>
        <w:t xml:space="preserve">Judge</w:t>
      </w:r>
      <w:r>
        <w:t xml:space="preserve"> </w:t>
      </w:r>
      <w:r>
        <w:t xml:space="preserve">panel in a timely and professional manner.</w:t>
      </w:r>
    </w:p>
    <w:p>
      <w:pPr>
        <w:numPr>
          <w:ilvl w:val="0"/>
          <w:numId w:val="1001"/>
        </w:numPr>
        <w:pStyle w:val="Compact"/>
      </w:pPr>
      <w:r>
        <w:t xml:space="preserve">Post-event compilation and delivery of a consolidated</w:t>
      </w:r>
      <w:r>
        <w:t xml:space="preserve"> </w:t>
      </w:r>
      <w:r>
        <w:t xml:space="preserve">Judge</w:t>
      </w:r>
      <w:r>
        <w:t xml:space="preserve"> </w:t>
      </w:r>
      <w:r>
        <w:t xml:space="preserve">scoring report, including individual category rankings, narrative feedback summaries, and recommended award allocations, to be delivered to the client within five (5) business days following the conclusion of the event in</w:t>
      </w:r>
      <w:r>
        <w:t xml:space="preserve"> </w:t>
      </w:r>
      <w:r>
        <w:t xml:space="preserve">Thailand Bangkok</w:t>
      </w:r>
      <w:r>
        <w:t xml:space="preserve">.</w:t>
      </w:r>
    </w:p>
    <w:p>
      <w:pPr>
        <w:pStyle w:val="FirstParagraph"/>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Rate (THB)</w:t>
            </w:r>
          </w:p>
        </w:tc>
        <w:tc>
          <w:tcPr/>
          <w:p>
            <w:pPr>
              <w:pStyle w:val="Compact"/>
              <w:jc w:val="left"/>
            </w:pPr>
            <w:r>
              <w:t xml:space="preserve">Amount (THB)</w:t>
            </w:r>
          </w:p>
        </w:tc>
      </w:tr>
      <w:tr>
        <w:tc>
          <w:tcPr/>
          <w:p>
            <w:pPr>
              <w:pStyle w:val="Compact"/>
              <w:jc w:val="left"/>
            </w:pPr>
            <w:r>
              <w:t xml:space="preserve">1</w:t>
            </w:r>
          </w:p>
        </w:tc>
        <w:tc>
          <w:tcPr/>
          <w:p>
            <w:pPr>
              <w:pStyle w:val="Compact"/>
              <w:jc w:val="left"/>
            </w:pPr>
            <w:r>
              <w:t xml:space="preserve">Senior</w:t>
            </w:r>
            <w:r>
              <w:t xml:space="preserve"> </w:t>
            </w:r>
            <w:r>
              <w:t xml:space="preserve">Judge</w:t>
            </w:r>
            <w:r>
              <w:t xml:space="preserve"> </w:t>
            </w:r>
            <w:r>
              <w:t xml:space="preserve">Panel Fee (5 judges × 3 days, inclusive of travel within Bangkok, accommodation at a five-star hotel, and per diem)</w:t>
            </w:r>
          </w:p>
        </w:tc>
        <w:tc>
          <w:tcPr/>
          <w:p>
            <w:pPr>
              <w:pStyle w:val="Compact"/>
              <w:jc w:val="left"/>
            </w:pPr>
            <w:r>
              <w:t xml:space="preserve">5 pax × 3 days</w:t>
            </w:r>
          </w:p>
        </w:tc>
        <w:tc>
          <w:tcPr/>
          <w:p>
            <w:pPr>
              <w:pStyle w:val="Compact"/>
              <w:jc w:val="left"/>
            </w:pPr>
            <w:r>
              <w:t xml:space="preserve">45,000</w:t>
            </w:r>
          </w:p>
        </w:tc>
        <w:tc>
          <w:tcPr/>
          <w:p>
            <w:pPr>
              <w:pStyle w:val="Compact"/>
              <w:jc w:val="left"/>
            </w:pPr>
            <w:r>
              <w:t xml:space="preserve">675,000</w:t>
            </w:r>
          </w:p>
        </w:tc>
      </w:tr>
      <w:tr>
        <w:tc>
          <w:tcPr/>
          <w:p>
            <w:pPr>
              <w:pStyle w:val="Compact"/>
              <w:jc w:val="left"/>
            </w:pPr>
            <w:r>
              <w:t xml:space="preserve">2</w:t>
            </w:r>
          </w:p>
        </w:tc>
        <w:tc>
          <w:tcPr/>
          <w:p>
            <w:pPr>
              <w:pStyle w:val="Compact"/>
              <w:jc w:val="left"/>
            </w:pPr>
            <w:r>
              <w:t xml:space="preserve">Judge</w:t>
            </w:r>
            <w:r>
              <w:t xml:space="preserve"> </w:t>
            </w:r>
            <w:r>
              <w:t xml:space="preserve">Coordination &amp; Liaison Team (2 coordinators × 3 days, on-site in</w:t>
            </w:r>
            <w:r>
              <w:t xml:space="preserve"> </w:t>
            </w:r>
            <w:r>
              <w:t xml:space="preserve">Thailand Bangkok</w:t>
            </w:r>
            <w:r>
              <w:t xml:space="preserve">)</w:t>
            </w:r>
          </w:p>
        </w:tc>
        <w:tc>
          <w:tcPr/>
          <w:p>
            <w:pPr>
              <w:pStyle w:val="Compact"/>
              <w:jc w:val="left"/>
            </w:pPr>
            <w:r>
              <w:t xml:space="preserve">2 pax × 3 days</w:t>
            </w:r>
          </w:p>
        </w:tc>
        <w:tc>
          <w:tcPr/>
          <w:p>
            <w:pPr>
              <w:pStyle w:val="Compact"/>
              <w:jc w:val="left"/>
            </w:pPr>
            <w:r>
              <w:t xml:space="preserve">12,000</w:t>
            </w:r>
          </w:p>
        </w:tc>
        <w:tc>
          <w:tcPr/>
          <w:p>
            <w:pPr>
              <w:pStyle w:val="Compact"/>
              <w:jc w:val="left"/>
            </w:pPr>
            <w:r>
              <w:t xml:space="preserve">72,000</w:t>
            </w:r>
          </w:p>
        </w:tc>
      </w:tr>
      <w:tr>
        <w:tc>
          <w:tcPr/>
          <w:p>
            <w:pPr>
              <w:pStyle w:val="Compact"/>
              <w:jc w:val="left"/>
            </w:pPr>
            <w:r>
              <w:t xml:space="preserve">3</w:t>
            </w:r>
          </w:p>
        </w:tc>
        <w:tc>
          <w:tcPr/>
          <w:p>
            <w:pPr>
              <w:pStyle w:val="Compact"/>
              <w:jc w:val="left"/>
            </w:pPr>
            <w:r>
              <w:t xml:space="preserve">Preparation of</w:t>
            </w:r>
            <w:r>
              <w:t xml:space="preserve"> </w:t>
            </w:r>
            <w:r>
              <w:t xml:space="preserve">Judge</w:t>
            </w:r>
            <w:r>
              <w:t xml:space="preserve"> </w:t>
            </w:r>
            <w:r>
              <w:t xml:space="preserve">Evaluation Kits (scoring rubrics, digital tablets, bilingual materials, printed documentation)</w:t>
            </w:r>
          </w:p>
        </w:tc>
        <w:tc>
          <w:tcPr/>
          <w:p>
            <w:pPr>
              <w:pStyle w:val="Compact"/>
              <w:jc w:val="left"/>
            </w:pPr>
            <w:r>
              <w:t xml:space="preserve">1 lot</w:t>
            </w:r>
          </w:p>
        </w:tc>
        <w:tc>
          <w:tcPr/>
          <w:p>
            <w:pPr>
              <w:pStyle w:val="Compact"/>
              <w:jc w:val="left"/>
            </w:pPr>
            <w:r>
              <w:t xml:space="preserve">85,000</w:t>
            </w:r>
          </w:p>
        </w:tc>
        <w:tc>
          <w:tcPr/>
          <w:p>
            <w:pPr>
              <w:pStyle w:val="Compact"/>
              <w:jc w:val="left"/>
            </w:pPr>
            <w:r>
              <w:t xml:space="preserve">85,000</w:t>
            </w:r>
          </w:p>
        </w:tc>
      </w:tr>
      <w:tr>
        <w:tc>
          <w:tcPr/>
          <w:p>
            <w:pPr>
              <w:pStyle w:val="Compact"/>
              <w:jc w:val="left"/>
            </w:pPr>
            <w:r>
              <w:t xml:space="preserve">4</w:t>
            </w:r>
          </w:p>
        </w:tc>
        <w:tc>
          <w:tcPr/>
          <w:p>
            <w:pPr>
              <w:pStyle w:val="Compact"/>
              <w:jc w:val="left"/>
            </w:pPr>
            <w:r>
              <w:t xml:space="preserve">Private</w:t>
            </w:r>
            <w:r>
              <w:t xml:space="preserve"> </w:t>
            </w:r>
            <w:r>
              <w:t xml:space="preserve">Judge</w:t>
            </w:r>
            <w:r>
              <w:t xml:space="preserve"> </w:t>
            </w:r>
            <w:r>
              <w:t xml:space="preserve">Deliberation Suite (venue hire, AV setup, refreshments, secure storage × 3 days)</w:t>
            </w:r>
          </w:p>
        </w:tc>
        <w:tc>
          <w:tcPr/>
          <w:p>
            <w:pPr>
              <w:pStyle w:val="Compact"/>
              <w:jc w:val="left"/>
            </w:pPr>
            <w:r>
              <w:t xml:space="preserve">3 days</w:t>
            </w:r>
          </w:p>
        </w:tc>
        <w:tc>
          <w:tcPr/>
          <w:p>
            <w:pPr>
              <w:pStyle w:val="Compact"/>
              <w:jc w:val="left"/>
            </w:pPr>
            <w:r>
              <w:t xml:space="preserve">38,000</w:t>
            </w:r>
          </w:p>
        </w:tc>
        <w:tc>
          <w:tcPr/>
          <w:p>
            <w:pPr>
              <w:pStyle w:val="Compact"/>
              <w:jc w:val="left"/>
            </w:pPr>
            <w:r>
              <w:t xml:space="preserve">114,000</w:t>
            </w:r>
          </w:p>
        </w:tc>
      </w:tr>
      <w:tr>
        <w:tc>
          <w:tcPr/>
          <w:p>
            <w:pPr>
              <w:pStyle w:val="Compact"/>
              <w:jc w:val="left"/>
            </w:pPr>
            <w:r>
              <w:t xml:space="preserve">5</w:t>
            </w:r>
          </w:p>
        </w:tc>
        <w:tc>
          <w:tcPr/>
          <w:p>
            <w:pPr>
              <w:pStyle w:val="Compact"/>
              <w:jc w:val="left"/>
            </w:pPr>
            <w:r>
              <w:t xml:space="preserve">Post-Event</w:t>
            </w:r>
            <w:r>
              <w:t xml:space="preserve"> </w:t>
            </w:r>
            <w:r>
              <w:t xml:space="preserve">Judge</w:t>
            </w:r>
            <w:r>
              <w:t xml:space="preserve"> </w:t>
            </w:r>
            <w:r>
              <w:t xml:space="preserve">Scoring Report &amp; Consolidated Feedback Documentation</w:t>
            </w:r>
          </w:p>
        </w:tc>
        <w:tc>
          <w:tcPr/>
          <w:p>
            <w:pPr>
              <w:pStyle w:val="Compact"/>
              <w:jc w:val="left"/>
            </w:pPr>
            <w:r>
              <w:t xml:space="preserve">1 lot</w:t>
            </w:r>
          </w:p>
        </w:tc>
        <w:tc>
          <w:tcPr/>
          <w:p>
            <w:pPr>
              <w:pStyle w:val="Compact"/>
              <w:jc w:val="left"/>
            </w:pPr>
            <w:r>
              <w:t xml:space="preserve">55,000</w:t>
            </w:r>
          </w:p>
        </w:tc>
        <w:tc>
          <w:tcPr/>
          <w:p>
            <w:pPr>
              <w:pStyle w:val="Compact"/>
              <w:jc w:val="left"/>
            </w:pPr>
            <w:r>
              <w:t xml:space="preserve">55,000</w:t>
            </w:r>
          </w:p>
        </w:tc>
      </w:tr>
      <w:tr>
        <w:tc>
          <w:tcPr/>
          <w:p>
            <w:pPr>
              <w:pStyle w:val="Compact"/>
              <w:jc w:val="left"/>
            </w:pPr>
            <w:r>
              <w:t xml:space="preserve">6</w:t>
            </w:r>
          </w:p>
        </w:tc>
        <w:tc>
          <w:tcPr/>
          <w:p>
            <w:pPr>
              <w:pStyle w:val="Compact"/>
              <w:jc w:val="left"/>
            </w:pPr>
            <w:r>
              <w:t xml:space="preserve">Contingency &amp; Administrative Overhead (10% of subtotal)</w:t>
            </w:r>
          </w:p>
        </w:tc>
        <w:tc>
          <w:tcPr/>
          <w:p>
            <w:pPr>
              <w:pStyle w:val="Compact"/>
              <w:jc w:val="left"/>
            </w:pPr>
            <w:r>
              <w:t xml:space="preserve">1 lot</w:t>
            </w:r>
          </w:p>
        </w:tc>
        <w:tc>
          <w:tcPr/>
          <w:p>
            <w:pPr>
              <w:pStyle w:val="Compact"/>
              <w:jc w:val="left"/>
            </w:pPr>
            <w:r>
              <w:t xml:space="preserve">—</w:t>
            </w:r>
          </w:p>
        </w:tc>
        <w:tc>
          <w:tcPr/>
          <w:p>
            <w:pPr>
              <w:pStyle w:val="Compact"/>
              <w:jc w:val="left"/>
            </w:pPr>
            <w:r>
              <w:t xml:space="preserve">100,100</w:t>
            </w:r>
          </w:p>
        </w:tc>
      </w:tr>
      <w:tr>
        <w:tc>
          <w:tcPr>
            <w:gridSpan w:val="4"/>
          </w:tcPr>
          <w:p>
            <w:pPr>
              <w:pStyle w:val="Compact"/>
              <w:jc w:val="right"/>
            </w:pPr>
            <w:r>
              <w:t xml:space="preserve">Subtotal (THB)</w:t>
            </w:r>
          </w:p>
        </w:tc>
        <w:tc>
          <w:tcPr/>
          <w:p>
            <w:pPr>
              <w:pStyle w:val="Compact"/>
              <w:jc w:val="left"/>
            </w:pPr>
            <w:r>
              <w:t xml:space="preserve">1,101,100</w:t>
            </w:r>
          </w:p>
        </w:tc>
      </w:tr>
      <w:tr>
        <w:tc>
          <w:tcPr>
            <w:gridSpan w:val="4"/>
          </w:tcPr>
          <w:p>
            <w:pPr>
              <w:pStyle w:val="Compact"/>
              <w:jc w:val="right"/>
            </w:pPr>
            <w:r>
              <w:t xml:space="preserve">VAT 7% (Thailand Revenue Code)</w:t>
            </w:r>
          </w:p>
        </w:tc>
        <w:tc>
          <w:tcPr/>
          <w:p>
            <w:pPr>
              <w:pStyle w:val="Compact"/>
              <w:jc w:val="left"/>
            </w:pPr>
            <w:r>
              <w:t xml:space="preserve">77,077</w:t>
            </w:r>
          </w:p>
        </w:tc>
      </w:tr>
      <w:tr>
        <w:tc>
          <w:tcPr>
            <w:gridSpan w:val="4"/>
          </w:tcPr>
          <w:p>
            <w:pPr>
              <w:pStyle w:val="Compact"/>
              <w:jc w:val="right"/>
            </w:pPr>
            <w:r>
              <w:t xml:space="preserve">TOTAL QUOTATION ESTIMATE (THB)</w:t>
            </w:r>
          </w:p>
        </w:tc>
        <w:tc>
          <w:tcPr/>
          <w:p>
            <w:pPr>
              <w:pStyle w:val="Compact"/>
              <w:jc w:val="left"/>
            </w:pPr>
            <w:r>
              <w:t xml:space="preserve">1,178,177</w:t>
            </w:r>
          </w:p>
        </w:tc>
      </w:tr>
    </w:tbl>
    <w:p>
      <w:pPr>
        <w:pStyle w:val="BodyText"/>
      </w:pPr>
      <w:r>
        <w:rPr>
          <w:bCs/>
          <w:b/>
        </w:rPr>
        <w:t xml:space="preserve">Note:</w:t>
      </w:r>
      <w:r>
        <w:t xml:space="preserve"> </w:t>
      </w:r>
      <w:r>
        <w:t xml:space="preserve">All rates quoted in this</w:t>
      </w:r>
      <w:r>
        <w:t xml:space="preserve"> </w:t>
      </w:r>
      <w:r>
        <w:t xml:space="preserve">Quotation Estimate</w:t>
      </w:r>
      <w:r>
        <w:t xml:space="preserve"> </w:t>
      </w:r>
      <w:r>
        <w:t xml:space="preserve">are in Thai Baht (THB) and are inclusive of standard business hours in</w:t>
      </w:r>
      <w:r>
        <w:t xml:space="preserve"> </w:t>
      </w:r>
      <w:r>
        <w:t xml:space="preserve">Thailand Bangkok</w:t>
      </w:r>
      <w:r>
        <w:t xml:space="preserve"> </w:t>
      </w:r>
      <w:r>
        <w:t xml:space="preserve">(08:00–18:00). Any</w:t>
      </w:r>
      <w:r>
        <w:t xml:space="preserve"> </w:t>
      </w:r>
      <w:r>
        <w:t xml:space="preserve">Judge</w:t>
      </w:r>
      <w:r>
        <w:t xml:space="preserve"> </w:t>
      </w:r>
      <w:r>
        <w:t xml:space="preserve">engagement extending beyond 18:00 or falling on a public holiday in Thailand will be billed at 1.5× the standard daily rate. International</w:t>
      </w:r>
      <w:r>
        <w:t xml:space="preserve"> </w:t>
      </w:r>
      <w:r>
        <w:t xml:space="preserve">Judge</w:t>
      </w:r>
      <w:r>
        <w:t xml:space="preserve"> </w:t>
      </w:r>
      <w:r>
        <w:t xml:space="preserve">travel (airfare, visa processing, and international accommodation) is excluded and will be quoted separately upon request.</w:t>
      </w:r>
    </w:p>
    <w:p>
      <w:pPr>
        <w:pStyle w:val="BodyText"/>
      </w:pPr>
      <w:r>
        <w:t xml:space="preserve">4. Terms and Conditions</w:t>
      </w:r>
    </w:p>
    <w:p>
      <w:pPr>
        <w:numPr>
          <w:ilvl w:val="0"/>
          <w:numId w:val="1002"/>
        </w:numPr>
        <w:pStyle w:val="Compact"/>
      </w:pPr>
      <w:r>
        <w:t xml:space="preserve">This</w:t>
      </w:r>
      <w:r>
        <w:t xml:space="preserve"> </w:t>
      </w:r>
      <w:r>
        <w:t xml:space="preserve">Quotation Estimate</w:t>
      </w:r>
      <w:r>
        <w:t xml:space="preserve"> </w:t>
      </w:r>
      <w:r>
        <w:t xml:space="preserve">is valid for thirty (30) calendar days from the date of issue. Upon expiry, all rates and availability of the proposed</w:t>
      </w:r>
      <w:r>
        <w:t xml:space="preserve"> </w:t>
      </w:r>
      <w:r>
        <w:t xml:space="preserve">Judge</w:t>
      </w:r>
      <w:r>
        <w:t xml:space="preserve"> </w:t>
      </w:r>
      <w:r>
        <w:t xml:space="preserve">panel are subject to reconfirmation and potential revision.</w:t>
      </w:r>
    </w:p>
    <w:p>
      <w:pPr>
        <w:numPr>
          <w:ilvl w:val="0"/>
          <w:numId w:val="1002"/>
        </w:numPr>
        <w:pStyle w:val="Compact"/>
      </w:pPr>
      <w:r>
        <w:t xml:space="preserve">Payment terms: Fifty percent (50%) of the total</w:t>
      </w:r>
      <w:r>
        <w:t xml:space="preserve"> </w:t>
      </w:r>
      <w:r>
        <w:t xml:space="preserve">Quotation Estimate</w:t>
      </w:r>
      <w:r>
        <w:t xml:space="preserve"> </w:t>
      </w:r>
      <w:r>
        <w:t xml:space="preserve">amount is due upon execution of the service agreement. The remaining fifty percent (50%) is due within fourteen (14) calendar days following the successful completion of the event and delivery of the final</w:t>
      </w:r>
      <w:r>
        <w:t xml:space="preserve"> </w:t>
      </w:r>
      <w:r>
        <w:t xml:space="preserve">Judge</w:t>
      </w:r>
      <w:r>
        <w:t xml:space="preserve"> </w:t>
      </w:r>
      <w:r>
        <w:t xml:space="preserve">scoring report.</w:t>
      </w:r>
    </w:p>
    <w:p>
      <w:pPr>
        <w:numPr>
          <w:ilvl w:val="0"/>
          <w:numId w:val="1002"/>
        </w:numPr>
        <w:pStyle w:val="Compact"/>
      </w:pPr>
      <w:r>
        <w:t xml:space="preserve">All</w:t>
      </w:r>
      <w:r>
        <w:t xml:space="preserve"> </w:t>
      </w:r>
      <w:r>
        <w:t xml:space="preserve">Judge</w:t>
      </w:r>
      <w:r>
        <w:t xml:space="preserve"> </w:t>
      </w:r>
      <w:r>
        <w:t xml:space="preserve">panelists engaged under this estimate shall be bound by a strict non-disclosure agreement (NDA) covering all event materials, competitor submissions, scoring data, and deliberation content. Breach of confidentiality shall result in immediate termination and financial liability.</w:t>
      </w:r>
    </w:p>
    <w:p>
      <w:pPr>
        <w:numPr>
          <w:ilvl w:val="0"/>
          <w:numId w:val="1002"/>
        </w:numPr>
        <w:pStyle w:val="Compact"/>
      </w:pPr>
      <w:r>
        <w:t xml:space="preserve">The client reserves the right to request the substitution of any individual</w:t>
      </w:r>
      <w:r>
        <w:t xml:space="preserve"> </w:t>
      </w:r>
      <w:r>
        <w:t xml:space="preserve">Judge</w:t>
      </w:r>
      <w:r>
        <w:t xml:space="preserve"> </w:t>
      </w:r>
      <w:r>
        <w:t xml:space="preserve">prior to the event date, provided that a written request is submitted no fewer than fourteen (14) days before the event. Substitution shall not alter the total</w:t>
      </w:r>
      <w:r>
        <w:t xml:space="preserve"> </w:t>
      </w:r>
      <w:r>
        <w:t xml:space="preserve">Quotation Estimate</w:t>
      </w:r>
      <w:r>
        <w:t xml:space="preserve"> </w:t>
      </w:r>
      <w:r>
        <w:t xml:space="preserve">amount unless the replacement</w:t>
      </w:r>
      <w:r>
        <w:t xml:space="preserve"> </w:t>
      </w:r>
      <w:r>
        <w:t xml:space="preserve">Judge</w:t>
      </w:r>
      <w:r>
        <w:t xml:space="preserve"> </w:t>
      </w:r>
      <w:r>
        <w:t xml:space="preserve">commands a higher fee tier, in which case a supplemental estimate will be issued.</w:t>
      </w:r>
    </w:p>
    <w:p>
      <w:pPr>
        <w:numPr>
          <w:ilvl w:val="0"/>
          <w:numId w:val="1002"/>
        </w:numPr>
        <w:pStyle w:val="Compact"/>
      </w:pPr>
      <w:r>
        <w:t xml:space="preserve">Force majeure events, including but not limited to natural disasters, government-mandated closures, or public health emergencies affecting</w:t>
      </w:r>
      <w:r>
        <w:t xml:space="preserve"> </w:t>
      </w:r>
      <w:r>
        <w:t xml:space="preserve">Thailand Bangkok</w:t>
      </w:r>
      <w:r>
        <w:t xml:space="preserve">, shall be addressed through mutual written agreement between both parties. No penalty shall apply to either party in such circumstances.</w:t>
      </w:r>
    </w:p>
    <w:p>
      <w:pPr>
        <w:numPr>
          <w:ilvl w:val="0"/>
          <w:numId w:val="1002"/>
        </w:numPr>
        <w:pStyle w:val="Compact"/>
      </w:pPr>
      <w:r>
        <w:t xml:space="preserve">This</w:t>
      </w:r>
      <w:r>
        <w:t xml:space="preserve"> </w:t>
      </w:r>
      <w:r>
        <w:t xml:space="preserve">Quotation Estimate</w:t>
      </w:r>
      <w:r>
        <w:t xml:space="preserve"> </w:t>
      </w:r>
      <w:r>
        <w:t xml:space="preserve">does not constitute a binding contract. A formal service agreement, incorporating all terms herein, must be executed by both parties prior to the commencement of any</w:t>
      </w:r>
      <w:r>
        <w:t xml:space="preserve"> </w:t>
      </w:r>
      <w:r>
        <w:t xml:space="preserve">Judge</w:t>
      </w:r>
      <w:r>
        <w:t xml:space="preserve"> </w:t>
      </w:r>
      <w:r>
        <w:t xml:space="preserve">engagement services.</w:t>
      </w:r>
    </w:p>
    <w:p>
      <w:pPr>
        <w:numPr>
          <w:ilvl w:val="0"/>
          <w:numId w:val="1002"/>
        </w:numPr>
        <w:pStyle w:val="Compact"/>
      </w:pPr>
      <w:r>
        <w:t xml:space="preserve">All disputes arising from this</w:t>
      </w:r>
      <w:r>
        <w:t xml:space="preserve"> </w:t>
      </w:r>
      <w:r>
        <w:t xml:space="preserve">Quotation Estimate</w:t>
      </w:r>
      <w:r>
        <w:t xml:space="preserve"> </w:t>
      </w:r>
      <w:r>
        <w:t xml:space="preserve">or the subsequent service agreement shall be resolved through arbitration in accordance with the rules of the Thai Arbitration Institute, with the seat of arbitration in Bangkok, Thailand.</w:t>
      </w:r>
    </w:p>
    <w:p>
      <w:pPr>
        <w:pStyle w:val="FirstParagraph"/>
      </w:pPr>
      <w:r>
        <w:t xml:space="preserve">5. Acceptance and Authorization</w:t>
      </w:r>
    </w:p>
    <w:p>
      <w:pPr>
        <w:pStyle w:val="BodyText"/>
      </w:pPr>
      <w:r>
        <w:t xml:space="preserve">By signing below, the client acknowledges receipt of this</w:t>
      </w:r>
      <w:r>
        <w:t xml:space="preserve"> </w:t>
      </w:r>
      <w:r>
        <w:t xml:space="preserve">Quotation Estimate</w:t>
      </w:r>
      <w:r>
        <w:t xml:space="preserve"> </w:t>
      </w:r>
      <w:r>
        <w:t xml:space="preserve">for</w:t>
      </w:r>
      <w:r>
        <w:t xml:space="preserve"> </w:t>
      </w:r>
      <w:r>
        <w:t xml:space="preserve">Judge</w:t>
      </w:r>
      <w:r>
        <w:t xml:space="preserve"> </w:t>
      </w:r>
      <w:r>
        <w:t xml:space="preserve">engagement services in</w:t>
      </w:r>
      <w:r>
        <w:t xml:space="preserve"> </w:t>
      </w:r>
      <w:r>
        <w:t xml:space="preserve">Thailand Bangkok</w:t>
      </w:r>
      <w:r>
        <w:t xml:space="preserve"> </w:t>
      </w:r>
      <w:r>
        <w:t xml:space="preserve">and agrees to the terms and conditions set forth herein. This signature authorizes Bangkok Event Professionals Co., Ltd. to proceed with the recruitment and scheduling of the</w:t>
      </w:r>
      <w:r>
        <w:t xml:space="preserve"> </w:t>
      </w:r>
      <w:r>
        <w:t xml:space="preserve">Judge</w:t>
      </w:r>
      <w:r>
        <w:t xml:space="preserve"> </w:t>
      </w:r>
      <w:r>
        <w:t xml:space="preserve">panel as described in Section 2.</w:t>
      </w:r>
    </w:p>
    <w:p>
      <w:pPr>
        <w:pStyle w:val="BodyText"/>
      </w:pPr>
      <w:r>
        <w:t xml:space="preserve">For and on behalf of:</w:t>
      </w:r>
      <w:r>
        <w:br/>
      </w:r>
      <w:r>
        <w:t xml:space="preserve">Bangkok Event Professionals Co., Ltd.</w:t>
      </w:r>
    </w:p>
    <w:p>
      <w:pPr>
        <w:pStyle w:val="BodyText"/>
      </w:pPr>
      <w:r>
        <w:t xml:space="preserve">Name: ___________________________</w:t>
      </w:r>
      <w:r>
        <w:br/>
      </w:r>
      <w:r>
        <w:t xml:space="preserve">Title: Managing Director</w:t>
      </w:r>
      <w:r>
        <w:br/>
      </w:r>
      <w:r>
        <w:t xml:space="preserve">Signature &amp; Date: ___________________________</w:t>
      </w:r>
    </w:p>
    <w:p>
      <w:pPr>
        <w:pStyle w:val="BodyText"/>
      </w:pPr>
      <w:r>
        <w:t xml:space="preserve">For and on behalf of:</w:t>
      </w:r>
      <w:r>
        <w:br/>
      </w:r>
      <w:r>
        <w:t xml:space="preserve">Royal Bangkok International Competition Committee</w:t>
      </w:r>
    </w:p>
    <w:p>
      <w:pPr>
        <w:pStyle w:val="BodyText"/>
      </w:pPr>
      <w:r>
        <w:t xml:space="preserve">Name: ___________________________</w:t>
      </w:r>
      <w:r>
        <w:br/>
      </w:r>
      <w:r>
        <w:t xml:space="preserve">Title: Event Director</w:t>
      </w:r>
      <w:r>
        <w:br/>
      </w:r>
      <w:r>
        <w:t xml:space="preserve">Signature &amp; Date: ___________________________</w:t>
      </w:r>
    </w:p>
    <w:p>
      <w:pPr>
        <w:pStyle w:val="BodyText"/>
      </w:pPr>
      <w:r>
        <w:t xml:space="preserve">Quotation Estimate No. QTE-THB-2025-0478 — Judge Engagement Services — Thailand Bangkok</w:t>
      </w:r>
      <w:r>
        <w:br/>
      </w:r>
      <w:r>
        <w:t xml:space="preserve">Bangkok Event Professionals Co., Ltd. | 88 Sukhumvit Road, Khlong Toei, Bangkok 10110, Thailand</w:t>
      </w:r>
      <w:r>
        <w:br/>
      </w:r>
      <w:r>
        <w:t xml:space="preserve">This document is the property of Bangkok Event Professionals Co., Ltd. and is intended solely for the addressee. Unauthorized reproduction or distribution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Judge Services - Thailand Bangkok</dc:title>
  <dc:creator/>
  <dc:language>en</dc:language>
  <cp:keywords/>
  <dcterms:created xsi:type="dcterms:W3CDTF">2026-10-10T04:40:38Z</dcterms:created>
  <dcterms:modified xsi:type="dcterms:W3CDTF">2026-10-10T04:40:38Z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