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Judge Services — Republic of Turkey, Ankara</w:t>
      </w:r>
    </w:p>
    <w:bookmarkEnd w:id="20"/>
    <w:p>
      <w:pPr>
        <w:pStyle w:val="BodyText"/>
      </w:pPr>
      <w:r>
        <w:rPr>
          <w:bCs/>
          <w:b/>
        </w:rPr>
        <w:t xml:space="preserve">Quotation No.:</w:t>
      </w:r>
      <w:r>
        <w:t xml:space="preserve"> </w:t>
      </w:r>
      <w:r>
        <w:t xml:space="preserve">QTE-ANK-2025-04782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Ankara Professional Services Ltd.</w:t>
      </w:r>
      <w:r>
        <w:br/>
      </w:r>
      <w:r>
        <w:rPr>
          <w:bCs/>
          <w:b/>
        </w:rPr>
        <w:t xml:space="preserve">Address:</w:t>
      </w:r>
      <w:r>
        <w:t xml:space="preserve"> </w:t>
      </w:r>
      <w:r>
        <w:t xml:space="preserve">Kızılay Mah. Atatürk Bulvarı No. 142, 06420 Çankaya, Ankara, Turkey</w:t>
      </w:r>
      <w:r>
        <w:br/>
      </w:r>
      <w:r>
        <w:rPr>
          <w:bCs/>
          <w:b/>
        </w:rPr>
        <w:t xml:space="preserve">Contact:</w:t>
      </w:r>
      <w:r>
        <w:t xml:space="preserve"> </w:t>
      </w:r>
      <w:r>
        <w:t xml:space="preserve">+90 312 445 6789  |  info@ankaraprofsvc.com.tr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Ankara Metropolitan Cultural &amp; Arts Foundation</w:t>
            </w:r>
          </w:p>
        </w:tc>
      </w:tr>
      <w:tr>
        <w:tc>
          <w:tcPr/>
          <w:p>
            <w:pPr>
              <w:pStyle w:val="Compact"/>
              <w:jc w:val="left"/>
            </w:pPr>
            <w:r>
              <w:rPr>
                <w:bCs/>
                <w:b/>
              </w:rPr>
              <w:t xml:space="preserve">Client Address:</w:t>
            </w:r>
          </w:p>
        </w:tc>
        <w:tc>
          <w:tcPr/>
          <w:p>
            <w:pPr>
              <w:pStyle w:val="Compact"/>
              <w:jc w:val="left"/>
            </w:pPr>
            <w:r>
              <w:t xml:space="preserve">Ulus Mah. Cumhuriyet Cad. No. 88, 06240 Ulus, Ankara, Turkey</w:t>
            </w:r>
          </w:p>
        </w:tc>
      </w:tr>
      <w:tr>
        <w:tc>
          <w:tcPr/>
          <w:p>
            <w:pPr>
              <w:pStyle w:val="Compact"/>
              <w:jc w:val="left"/>
            </w:pPr>
            <w:r>
              <w:rPr>
                <w:bCs/>
                <w:b/>
              </w:rPr>
              <w:t xml:space="preserve">Project Reference:</w:t>
            </w:r>
          </w:p>
        </w:tc>
        <w:tc>
          <w:tcPr/>
          <w:p>
            <w:pPr>
              <w:pStyle w:val="Compact"/>
              <w:jc w:val="left"/>
            </w:pPr>
            <w:r>
              <w:t xml:space="preserve">2025 Ankara International Arts &amp; Design Competition</w:t>
            </w:r>
          </w:p>
        </w:tc>
      </w:tr>
      <w:tr>
        <w:tc>
          <w:tcPr/>
          <w:p>
            <w:pPr>
              <w:pStyle w:val="Compact"/>
              <w:jc w:val="left"/>
            </w:pPr>
            <w:r>
              <w:rPr>
                <w:bCs/>
                <w:b/>
              </w:rPr>
              <w:t xml:space="preserve">Event Location:</w:t>
            </w:r>
          </w:p>
        </w:tc>
        <w:tc>
          <w:tcPr/>
          <w:p>
            <w:pPr>
              <w:pStyle w:val="Compact"/>
              <w:jc w:val="left"/>
            </w:pPr>
            <w:r>
              <w:t xml:space="preserve">Ankara Congress &amp; Exhibition Center, Eryaman, Ankara, Turkey</w:t>
            </w:r>
          </w:p>
        </w:tc>
      </w:tr>
      <w:tr>
        <w:tc>
          <w:tcPr/>
          <w:p>
            <w:pPr>
              <w:pStyle w:val="Compact"/>
              <w:jc w:val="left"/>
            </w:pPr>
            <w:r>
              <w:rPr>
                <w:bCs/>
                <w:b/>
              </w:rPr>
              <w:t xml:space="preserve">Event Dates:</w:t>
            </w:r>
          </w:p>
        </w:tc>
        <w:tc>
          <w:tcPr/>
          <w:p>
            <w:pPr>
              <w:pStyle w:val="Compact"/>
              <w:jc w:val="left"/>
            </w:pPr>
            <w:r>
              <w:t xml:space="preserve">22 – 26 October 2025 (five consecutive days)</w:t>
            </w:r>
          </w:p>
        </w:tc>
      </w:tr>
    </w:tbl>
    <w:bookmarkEnd w:id="21"/>
    <w:bookmarkStart w:id="22" w:name="scope-of-services-judge-engagement"/>
    <w:p>
      <w:pPr>
        <w:pStyle w:val="Heading2"/>
      </w:pPr>
      <w:r>
        <w:t xml:space="preserve">2. Scope of Services — Judge Engagement</w:t>
      </w:r>
    </w:p>
    <w:p>
      <w:pPr>
        <w:pStyle w:val="FirstParagraph"/>
      </w:pPr>
      <w:r>
        <w:t xml:space="preserve">This Quotation Estimate is issued by Ankara Professional Services Ltd. in response to the formal request submitted by the Ankara Metropolitan Cultural &amp; Arts Foundation for the engagement of qualified, independent Judge professionals to evaluate and score entries at the 2025 Ankara International Arts &amp; Design Competition. The Judge panel will be responsible for reviewing, scoring, and providing written evaluations for all submitted works across the categories of visual arts, graphic design, architectural concept design, and digital media. All Judge services will be conducted in full compliance with the regulations of the Republic of Turkey, the Ankara provincial administrative guidelines, and the ethical standards set forth by the Turkish Association of Professional Evaluators.</w:t>
      </w:r>
    </w:p>
    <w:bookmarkEnd w:id="22"/>
    <w:bookmarkStart w:id="23" w:name="itemized-quotation-estimate"/>
    <w:p>
      <w:pPr>
        <w:pStyle w:val="Heading2"/>
      </w:pPr>
      <w:r>
        <w:t xml:space="preserve">3.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Judge Service</w:t>
            </w:r>
          </w:p>
        </w:tc>
        <w:tc>
          <w:tcPr/>
          <w:p>
            <w:pPr>
              <w:pStyle w:val="Compact"/>
              <w:jc w:val="left"/>
            </w:pPr>
            <w:r>
              <w:t xml:space="preserve">Quantity</w:t>
            </w:r>
          </w:p>
        </w:tc>
        <w:tc>
          <w:tcPr/>
          <w:p>
            <w:pPr>
              <w:pStyle w:val="Compact"/>
              <w:jc w:val="left"/>
            </w:pPr>
            <w:r>
              <w:t xml:space="preserve">Unit Rate (TRY)</w:t>
            </w:r>
          </w:p>
        </w:tc>
        <w:tc>
          <w:tcPr/>
          <w:p>
            <w:pPr>
              <w:pStyle w:val="Compact"/>
              <w:jc w:val="left"/>
            </w:pPr>
            <w:r>
              <w:t xml:space="preserve">Subtotal (TRY)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Judge Panel (5 members) — Daily evaluation and scoring of all competition entries in Ankara</w:t>
            </w:r>
          </w:p>
        </w:tc>
        <w:tc>
          <w:tcPr/>
          <w:p>
            <w:pPr>
              <w:pStyle w:val="Compact"/>
              <w:jc w:val="left"/>
            </w:pPr>
            <w:r>
              <w:t xml:space="preserve">5 judges × 5 days</w:t>
            </w:r>
          </w:p>
        </w:tc>
        <w:tc>
          <w:tcPr/>
          <w:p>
            <w:pPr>
              <w:pStyle w:val="Compact"/>
              <w:jc w:val="left"/>
            </w:pPr>
            <w:r>
              <w:t xml:space="preserve">12,500.00</w:t>
            </w:r>
          </w:p>
        </w:tc>
        <w:tc>
          <w:tcPr/>
          <w:p>
            <w:pPr>
              <w:pStyle w:val="Compact"/>
              <w:jc w:val="left"/>
            </w:pPr>
            <w:r>
              <w:t xml:space="preserve">312,500.00</w:t>
            </w:r>
          </w:p>
        </w:tc>
        <w:tc>
          <w:tcPr/>
          <w:p>
            <w:pPr>
              <w:pStyle w:val="Compact"/>
              <w:jc w:val="left"/>
            </w:pPr>
            <w:r>
              <w:t xml:space="preserve">Includes travel within Ankara metro area</w:t>
            </w:r>
          </w:p>
        </w:tc>
      </w:tr>
      <w:tr>
        <w:tc>
          <w:tcPr/>
          <w:p>
            <w:pPr>
              <w:pStyle w:val="Compact"/>
              <w:jc w:val="left"/>
            </w:pPr>
            <w:r>
              <w:t xml:space="preserve">2</w:t>
            </w:r>
          </w:p>
        </w:tc>
        <w:tc>
          <w:tcPr/>
          <w:p>
            <w:pPr>
              <w:pStyle w:val="Compact"/>
              <w:jc w:val="left"/>
            </w:pPr>
            <w:r>
              <w:t xml:space="preserve">Junior Judge / Assistant Evaluators (3 members) — Preliminary screening and data entry support</w:t>
            </w:r>
          </w:p>
        </w:tc>
        <w:tc>
          <w:tcPr/>
          <w:p>
            <w:pPr>
              <w:pStyle w:val="Compact"/>
              <w:jc w:val="left"/>
            </w:pPr>
            <w:r>
              <w:t xml:space="preserve">3 judges × 5 days</w:t>
            </w:r>
          </w:p>
        </w:tc>
        <w:tc>
          <w:tcPr/>
          <w:p>
            <w:pPr>
              <w:pStyle w:val="Compact"/>
              <w:jc w:val="left"/>
            </w:pPr>
            <w:r>
              <w:t xml:space="preserve">7,800.00</w:t>
            </w:r>
          </w:p>
        </w:tc>
        <w:tc>
          <w:tcPr/>
          <w:p>
            <w:pPr>
              <w:pStyle w:val="Compact"/>
              <w:jc w:val="left"/>
            </w:pPr>
            <w:r>
              <w:t xml:space="preserve">117,000.00</w:t>
            </w:r>
          </w:p>
        </w:tc>
        <w:tc>
          <w:tcPr/>
          <w:p>
            <w:pPr>
              <w:pStyle w:val="Compact"/>
              <w:jc w:val="left"/>
            </w:pPr>
            <w:r>
              <w:t xml:space="preserve">Coordinated by Senior Judge panel</w:t>
            </w:r>
          </w:p>
        </w:tc>
      </w:tr>
      <w:tr>
        <w:tc>
          <w:tcPr/>
          <w:p>
            <w:pPr>
              <w:pStyle w:val="Compact"/>
              <w:jc w:val="left"/>
            </w:pPr>
            <w:r>
              <w:t xml:space="preserve">3</w:t>
            </w:r>
          </w:p>
        </w:tc>
        <w:tc>
          <w:tcPr/>
          <w:p>
            <w:pPr>
              <w:pStyle w:val="Compact"/>
              <w:jc w:val="left"/>
            </w:pPr>
            <w:r>
              <w:t xml:space="preserve">Chief Judge &amp; Panel Coordinator — Overall adjudication oversight, final deliberation, and certification of results</w:t>
            </w:r>
          </w:p>
        </w:tc>
        <w:tc>
          <w:tcPr/>
          <w:p>
            <w:pPr>
              <w:pStyle w:val="Compact"/>
              <w:jc w:val="left"/>
            </w:pPr>
            <w:r>
              <w:t xml:space="preserve">1 judge × 5 days</w:t>
            </w:r>
          </w:p>
        </w:tc>
        <w:tc>
          <w:tcPr/>
          <w:p>
            <w:pPr>
              <w:pStyle w:val="Compact"/>
              <w:jc w:val="left"/>
            </w:pPr>
            <w:r>
              <w:t xml:space="preserve">18,000.00</w:t>
            </w:r>
          </w:p>
        </w:tc>
        <w:tc>
          <w:tcPr/>
          <w:p>
            <w:pPr>
              <w:pStyle w:val="Compact"/>
              <w:jc w:val="left"/>
            </w:pPr>
            <w:r>
              <w:t xml:space="preserve">90,000.00</w:t>
            </w:r>
          </w:p>
        </w:tc>
        <w:tc>
          <w:tcPr/>
          <w:p>
            <w:pPr>
              <w:pStyle w:val="Compact"/>
              <w:jc w:val="left"/>
            </w:pPr>
            <w:r>
              <w:t xml:space="preserve">Must hold minimum 15 years of experience</w:t>
            </w:r>
          </w:p>
        </w:tc>
      </w:tr>
      <w:tr>
        <w:tc>
          <w:tcPr/>
          <w:p>
            <w:pPr>
              <w:pStyle w:val="Compact"/>
              <w:jc w:val="left"/>
            </w:pPr>
            <w:r>
              <w:t xml:space="preserve">4</w:t>
            </w:r>
          </w:p>
        </w:tc>
        <w:tc>
          <w:tcPr/>
          <w:p>
            <w:pPr>
              <w:pStyle w:val="Compact"/>
              <w:jc w:val="left"/>
            </w:pPr>
            <w:r>
              <w:t xml:space="preserve">Written Evaluation Reports — Individual Judge scoring sheets, consensus reports, and final adjudication certificate for each category</w:t>
            </w:r>
          </w:p>
        </w:tc>
        <w:tc>
          <w:tcPr/>
          <w:p>
            <w:pPr>
              <w:pStyle w:val="Compact"/>
              <w:jc w:val="left"/>
            </w:pPr>
            <w:r>
              <w:t xml:space="preserve">4 categories</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Delivered in Turkish and English</w:t>
            </w:r>
          </w:p>
        </w:tc>
      </w:tr>
      <w:tr>
        <w:tc>
          <w:tcPr/>
          <w:p>
            <w:pPr>
              <w:pStyle w:val="Compact"/>
              <w:jc w:val="left"/>
            </w:pPr>
            <w:r>
              <w:t xml:space="preserve">5</w:t>
            </w:r>
          </w:p>
        </w:tc>
        <w:tc>
          <w:tcPr/>
          <w:p>
            <w:pPr>
              <w:pStyle w:val="Compact"/>
              <w:jc w:val="left"/>
            </w:pPr>
            <w:r>
              <w:t xml:space="preserve">Public Judging Ceremony — Judge panel appearance at the closing awards ceremony in Ankara</w:t>
            </w:r>
          </w:p>
        </w:tc>
        <w:tc>
          <w:tcPr/>
          <w:p>
            <w:pPr>
              <w:pStyle w:val="Compact"/>
              <w:jc w:val="left"/>
            </w:pPr>
            <w:r>
              <w:t xml:space="preserve">1 event</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Includes 2-hour ceremony participation</w:t>
            </w:r>
          </w:p>
        </w:tc>
      </w:tr>
      <w:tr>
        <w:tc>
          <w:tcPr/>
          <w:p>
            <w:pPr>
              <w:pStyle w:val="Compact"/>
              <w:jc w:val="left"/>
            </w:pPr>
            <w:r>
              <w:t xml:space="preserve">6</w:t>
            </w:r>
          </w:p>
        </w:tc>
        <w:tc>
          <w:tcPr/>
          <w:p>
            <w:pPr>
              <w:pStyle w:val="Compact"/>
              <w:jc w:val="left"/>
            </w:pPr>
            <w:r>
              <w:t xml:space="preserve">Confidentiality &amp; Conflict-of-Interest Compliance — Legal review, NDA execution, and ethical clearance for all Judge personnel</w:t>
            </w:r>
          </w:p>
        </w:tc>
        <w:tc>
          <w:tcPr/>
          <w:p>
            <w:pPr>
              <w:pStyle w:val="Compact"/>
              <w:jc w:val="left"/>
            </w:pPr>
            <w:r>
              <w:t xml:space="preserve">9 judges</w:t>
            </w:r>
          </w:p>
        </w:tc>
        <w:tc>
          <w:tcPr/>
          <w:p>
            <w:pPr>
              <w:pStyle w:val="Compact"/>
              <w:jc w:val="left"/>
            </w:pPr>
            <w:r>
              <w:t xml:space="preserve">2,500.00</w:t>
            </w:r>
          </w:p>
        </w:tc>
        <w:tc>
          <w:tcPr/>
          <w:p>
            <w:pPr>
              <w:pStyle w:val="Compact"/>
              <w:jc w:val="left"/>
            </w:pPr>
            <w:r>
              <w:t xml:space="preserve">22,500.00</w:t>
            </w:r>
          </w:p>
        </w:tc>
        <w:tc>
          <w:tcPr/>
          <w:p>
            <w:pPr>
              <w:pStyle w:val="Compact"/>
              <w:jc w:val="left"/>
            </w:pPr>
            <w:r>
              <w:t xml:space="preserve">Per Turkish Law No. 6102 compliance</w:t>
            </w:r>
          </w:p>
        </w:tc>
      </w:tr>
      <w:tr>
        <w:tc>
          <w:tcPr/>
          <w:p>
            <w:pPr>
              <w:pStyle w:val="Compact"/>
              <w:jc w:val="left"/>
            </w:pPr>
            <w:r>
              <w:t xml:space="preserve">7</w:t>
            </w:r>
          </w:p>
        </w:tc>
        <w:tc>
          <w:tcPr/>
          <w:p>
            <w:pPr>
              <w:pStyle w:val="Compact"/>
              <w:jc w:val="left"/>
            </w:pPr>
            <w:r>
              <w:t xml:space="preserve">Logistics &amp; Administrative Support in Ankara — Venue coordination, scoring materials, secure document handling, and on-site technical assistance</w:t>
            </w:r>
          </w:p>
        </w:tc>
        <w:tc>
          <w:tcPr/>
          <w:p>
            <w:pPr>
              <w:pStyle w:val="Compact"/>
              <w:jc w:val="left"/>
            </w:pPr>
            <w:r>
              <w:t xml:space="preserve">5 days</w:t>
            </w:r>
          </w:p>
        </w:tc>
        <w:tc>
          <w:tcPr/>
          <w:p>
            <w:pPr>
              <w:pStyle w:val="Compact"/>
              <w:jc w:val="left"/>
            </w:pPr>
            <w:r>
              <w:t xml:space="preserve">8,000.00</w:t>
            </w:r>
          </w:p>
        </w:tc>
        <w:tc>
          <w:tcPr/>
          <w:p>
            <w:pPr>
              <w:pStyle w:val="Compact"/>
              <w:jc w:val="left"/>
            </w:pPr>
            <w:r>
              <w:t xml:space="preserve">40,000.00</w:t>
            </w:r>
          </w:p>
        </w:tc>
        <w:tc>
          <w:tcPr/>
          <w:p>
            <w:pPr>
              <w:pStyle w:val="Compact"/>
              <w:jc w:val="left"/>
            </w:pPr>
            <w:r>
              <w:t xml:space="preserve">Based at Ankara Congress Center</w:t>
            </w:r>
          </w:p>
        </w:tc>
      </w:tr>
      <w:tr>
        <w:tc>
          <w:tcPr>
            <w:gridSpan w:val="4"/>
          </w:tcPr>
          <w:p>
            <w:pPr>
              <w:pStyle w:val="Compact"/>
              <w:jc w:val="right"/>
            </w:pPr>
            <w:r>
              <w:t xml:space="preserve">SUBTOTAL (TRY)</w:t>
            </w:r>
          </w:p>
        </w:tc>
        <w:tc>
          <w:tcPr/>
          <w:p>
            <w:pPr>
              <w:pStyle w:val="Compact"/>
              <w:jc w:val="left"/>
            </w:pPr>
            <w:r>
              <w:t xml:space="preserve">667,000.00</w:t>
            </w:r>
          </w:p>
        </w:tc>
        <w:tc>
          <w:tcPr/>
          <w:p>
            <w:pPr>
              <w:pStyle w:val="Compact"/>
            </w:pPr>
          </w:p>
        </w:tc>
      </w:tr>
      <w:tr>
        <w:tc>
          <w:tcPr>
            <w:gridSpan w:val="4"/>
          </w:tcPr>
          <w:p>
            <w:pPr>
              <w:pStyle w:val="Compact"/>
              <w:jc w:val="right"/>
            </w:pPr>
            <w:r>
              <w:t xml:space="preserve">Value Added Tax (KDV) — 20%</w:t>
            </w:r>
          </w:p>
        </w:tc>
        <w:tc>
          <w:tcPr/>
          <w:p>
            <w:pPr>
              <w:pStyle w:val="Compact"/>
              <w:jc w:val="left"/>
            </w:pPr>
            <w:r>
              <w:t xml:space="preserve">133,400.00</w:t>
            </w:r>
          </w:p>
        </w:tc>
        <w:tc>
          <w:tcPr/>
          <w:p>
            <w:pPr>
              <w:pStyle w:val="Compact"/>
              <w:jc w:val="left"/>
            </w:pPr>
            <w:r>
              <w:t xml:space="preserve">Per Turkish tax regulations</w:t>
            </w:r>
          </w:p>
        </w:tc>
      </w:tr>
      <w:tr>
        <w:tc>
          <w:tcPr>
            <w:gridSpan w:val="4"/>
          </w:tcPr>
          <w:p>
            <w:pPr>
              <w:pStyle w:val="Compact"/>
              <w:jc w:val="right"/>
            </w:pPr>
            <w:r>
              <w:t xml:space="preserve">TOTAL QUOTATION ESTIMATE (TRY)</w:t>
            </w:r>
          </w:p>
        </w:tc>
        <w:tc>
          <w:tcPr/>
          <w:p>
            <w:pPr>
              <w:pStyle w:val="Compact"/>
              <w:jc w:val="left"/>
            </w:pPr>
            <w:r>
              <w:t xml:space="preserve">800,400.00</w:t>
            </w:r>
          </w:p>
        </w:tc>
        <w:tc>
          <w:tcPr/>
          <w:p>
            <w:pPr>
              <w:pStyle w:val="Compact"/>
            </w:pPr>
          </w:p>
        </w:tc>
      </w:tr>
    </w:tbl>
    <w:bookmarkEnd w:id="23"/>
    <w:bookmarkStart w:id="24" w:name="terms-and-conditions"/>
    <w:p>
      <w:pPr>
        <w:pStyle w:val="Heading2"/>
      </w:pPr>
      <w:r>
        <w:t xml:space="preserve">4. Terms and Conditions</w:t>
      </w:r>
    </w:p>
    <w:p>
      <w:pPr>
        <w:pStyle w:val="FirstParagraph"/>
      </w:pPr>
      <w:r>
        <w:t xml:space="preserve">The following terms govern this Quotation Estimate for Judge services in Turkey, Ankara:</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After this period, all rates are subject to revision based on prevailing market conditions in Ankara.</w:t>
      </w:r>
    </w:p>
    <w:p>
      <w:pPr>
        <w:numPr>
          <w:ilvl w:val="0"/>
          <w:numId w:val="1001"/>
        </w:numPr>
        <w:pStyle w:val="Compact"/>
      </w:pPr>
      <w:r>
        <w:rPr>
          <w:bCs/>
          <w:b/>
        </w:rPr>
        <w:t xml:space="preserve">Payment Terms:</w:t>
      </w:r>
      <w:r>
        <w:t xml:space="preserve"> </w:t>
      </w:r>
      <w:r>
        <w:t xml:space="preserve">A non-refundable deposit of 40% of the total Quotation Estimate amount shall be due within ten (10) business days of contract execution. The remaining 60% shall be payable within fifteen (15) business days following the completion of all Judge evaluation activities and delivery of final reports.</w:t>
      </w:r>
    </w:p>
    <w:p>
      <w:pPr>
        <w:numPr>
          <w:ilvl w:val="0"/>
          <w:numId w:val="1001"/>
        </w:numPr>
        <w:pStyle w:val="Compact"/>
      </w:pPr>
      <w:r>
        <w:rPr>
          <w:bCs/>
          <w:b/>
        </w:rPr>
        <w:t xml:space="preserve">Judge Qualifications:</w:t>
      </w:r>
      <w:r>
        <w:t xml:space="preserve"> </w:t>
      </w:r>
      <w:r>
        <w:t xml:space="preserve">All Judge personnel assigned to this project in Ankara shall hold a minimum of a Master's degree in a relevant discipline, possess at least ten (10) years of professional evaluation experience, and maintain no conflict of interest with any participating entry. The Chief Judge shall additionally hold a Doctoral degree and a minimum of fifteen (15) years of adjudication experience.</w:t>
      </w:r>
    </w:p>
    <w:p>
      <w:pPr>
        <w:numPr>
          <w:ilvl w:val="0"/>
          <w:numId w:val="1001"/>
        </w:numPr>
        <w:pStyle w:val="Compact"/>
      </w:pPr>
      <w:r>
        <w:rPr>
          <w:bCs/>
          <w:b/>
        </w:rPr>
        <w:t xml:space="preserve">Confidentiality:</w:t>
      </w:r>
      <w:r>
        <w:t xml:space="preserve"> </w:t>
      </w:r>
      <w:r>
        <w:t xml:space="preserve">All Judge members shall execute a binding Non-Disclosure Agreement (NDA) in accordance with Turkish law prior to commencing any evaluation work in Ankara. All scoring data, preliminary results, and deliberation notes shall be treated as strictly confidential until the official public announcement.</w:t>
      </w:r>
    </w:p>
    <w:p>
      <w:pPr>
        <w:numPr>
          <w:ilvl w:val="0"/>
          <w:numId w:val="1001"/>
        </w:numPr>
        <w:pStyle w:val="Compact"/>
      </w:pPr>
      <w:r>
        <w:rPr>
          <w:bCs/>
          <w:b/>
        </w:rPr>
        <w:t xml:space="preserve">Compliance:</w:t>
      </w:r>
      <w:r>
        <w:t xml:space="preserve"> </w:t>
      </w:r>
      <w:r>
        <w:t xml:space="preserve">All Judge services shall be performed in strict adherence to the laws of the Republic of Turkey, the administrative regulations of the Ankara provincial government, and the ethical code of conduct established by the Turkish Association of Professional Evaluators.</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government-mandated closures in Ankara, or public health emergencies.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Turkey. Any disputes shall be resolved by the competent courts in Ankara, Turkey.</w:t>
      </w:r>
    </w:p>
    <w:p>
      <w:pPr>
        <w:pStyle w:val="FirstParagraph"/>
      </w:pPr>
      <w:r>
        <w:rPr>
          <w:bCs/>
          <w:b/>
        </w:rPr>
        <w:t xml:space="preserve">Important Note:</w:t>
      </w:r>
      <w:r>
        <w:t xml:space="preserve"> </w:t>
      </w:r>
      <w:r>
        <w:t xml:space="preserve">This Quotation Estimate is a preliminary financial projection for the engagement of Judge professionals for the specified event in Ankara, Turkey. Final pricing may be adjusted upon confirmation of the exact number of entries, additional category requirements, or extended evaluation timelines. All Judge personnel will be vetted and approved by the client prior to final assignment. This document does not constitute a binding contract until both parties execute a formal service agreement.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Judge services in Turkey, Ankara, and confirms that the scope, rates, and terms outlined herein are acceptable. This signature does not constitute a binding contract but serves as an expression of intent to proceed to formal contract negotiation.</w:t>
      </w:r>
    </w:p>
    <w:p>
      <w:pPr>
        <w:pStyle w:val="BodyText"/>
      </w:pPr>
      <w:r>
        <w:rPr>
          <w:bCs/>
          <w:b/>
        </w:rPr>
        <w:t xml:space="preserve">For Ankara Professional Services Ltd.</w:t>
      </w:r>
    </w:p>
    <w:p>
      <w:pPr>
        <w:pStyle w:val="BodyText"/>
      </w:pPr>
      <w:r>
        <w:t xml:space="preserve">Name: Dr. Elif Kaya</w:t>
      </w:r>
      <w:r>
        <w:br/>
      </w:r>
      <w:r>
        <w:t xml:space="preserve">Title: Director of Professional Services</w:t>
      </w:r>
      <w:r>
        <w:br/>
      </w:r>
      <w:r>
        <w:t xml:space="preserve">Signature &amp; Date: ______________________</w:t>
      </w:r>
    </w:p>
    <w:p>
      <w:pPr>
        <w:pStyle w:val="BodyText"/>
      </w:pPr>
      <w:r>
        <w:rPr>
          <w:bCs/>
          <w:b/>
        </w:rPr>
        <w:t xml:space="preserve">For Ankara Metropolitan Cultural &amp; Arts Foundation</w:t>
      </w:r>
    </w:p>
    <w:p>
      <w:pPr>
        <w:pStyle w:val="BodyText"/>
      </w:pPr>
      <w:r>
        <w:t xml:space="preserve">Name: ______________________</w:t>
      </w:r>
      <w:r>
        <w:br/>
      </w:r>
      <w:r>
        <w:t xml:space="preserve">Title: ______________________</w:t>
      </w:r>
      <w:r>
        <w:br/>
      </w:r>
      <w:r>
        <w:t xml:space="preserve">Signature &amp; Date: ______________________</w:t>
      </w:r>
    </w:p>
    <w:p>
      <w:pPr>
        <w:pStyle w:val="BodyText"/>
      </w:pPr>
      <w:r>
        <w:t xml:space="preserve">Quotation Estimate No. QTE-ANK-2025-04782  |  Issued in Ankara, Turkey  |  Ankara Professional Services Ltd. — Kızılay, Çankaya, Ankara 06420, Republic of Turkey</w:t>
      </w:r>
      <w:r>
        <w:br/>
      </w:r>
      <w:r>
        <w:t xml:space="preserve">This document is the property of Ankara Professional Services Ltd. Unauthorized reproduction or distribution is prohibited under Turkish intellectual property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Turkey Ankara</dc:title>
  <dc:creator/>
  <dc:language>en</dc:language>
  <cp:keywords/>
  <dcterms:created xsi:type="dcterms:W3CDTF">2026-10-10T02:14:06Z</dcterms:created>
  <dcterms:modified xsi:type="dcterms:W3CDTF">2026-10-10T02:14:06Z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