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Chamber</w:t>
      </w:r>
      <w:r>
        <w:t xml:space="preserve"> </w:t>
      </w:r>
      <w:r>
        <w:t xml:space="preserve">Package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X1034f227e565e8f3fd49938ee69d1bdef6e7362"/>
    <w:p>
      <w:pPr>
        <w:pStyle w:val="Heading2"/>
      </w:pPr>
      <w:r>
        <w:t xml:space="preserve">Judge Chamber Comprehensive Supply &amp; Installation Package</w:t>
      </w:r>
    </w:p>
    <w:p>
      <w:pPr>
        <w:pStyle w:val="FirstParagraph"/>
      </w:pPr>
      <w:r>
        <w:t xml:space="preserve">United Arab Emirates — Dubai</w:t>
      </w:r>
    </w:p>
    <w:p>
      <w:pPr>
        <w:pStyle w:val="BodyText"/>
      </w:pPr>
      <w:r>
        <w:t xml:space="preserve">Document Reference: QE-DXB-JDG-2025-0472 | Date of Issue: 15 June 2025 | Valid Until: 15 September 2025</w:t>
      </w:r>
    </w:p>
    <w:bookmarkEnd w:id="20"/>
    <w:bookmarkEnd w:id="21"/>
    <w:p>
      <w:pPr>
        <w:pStyle w:val="BodyText"/>
      </w:pPr>
      <w:r>
        <w:rPr>
          <w:bCs/>
          <w:b/>
        </w:rPr>
        <w:t xml:space="preserve">Prepared By:</w:t>
      </w:r>
    </w:p>
    <w:p>
      <w:pPr>
        <w:pStyle w:val="BodyText"/>
      </w:pPr>
      <w:r>
        <w:t xml:space="preserve">Al Marjan Judicial Furnishings LLC</w:t>
      </w:r>
    </w:p>
    <w:p>
      <w:pPr>
        <w:pStyle w:val="BodyText"/>
      </w:pPr>
      <w:r>
        <w:t xml:space="preserve">P.O. Box 4521, Al Barsha 1</w:t>
      </w:r>
    </w:p>
    <w:p>
      <w:pPr>
        <w:pStyle w:val="BodyText"/>
      </w:pPr>
      <w:r>
        <w:t xml:space="preserve">Dubai, United Arab Emirates</w:t>
      </w:r>
    </w:p>
    <w:p>
      <w:pPr>
        <w:pStyle w:val="BodyText"/>
      </w:pPr>
      <w:r>
        <w:t xml:space="preserve">Tel: +971 4 330 8821</w:t>
      </w:r>
    </w:p>
    <w:p>
      <w:pPr>
        <w:pStyle w:val="BodyText"/>
      </w:pPr>
      <w:r>
        <w:t xml:space="preserve">Email: quotations@almarjanjudicial.ae</w:t>
      </w:r>
    </w:p>
    <w:p>
      <w:pPr>
        <w:pStyle w:val="BodyText"/>
      </w:pPr>
      <w:r>
        <w:t xml:space="preserve">Trade License No: 1048723</w:t>
      </w:r>
    </w:p>
    <w:p>
      <w:pPr>
        <w:pStyle w:val="BodyText"/>
      </w:pPr>
      <w:r>
        <w:rPr>
          <w:bCs/>
          <w:b/>
        </w:rPr>
        <w:t xml:space="preserve">Prepared For:</w:t>
      </w:r>
    </w:p>
    <w:p>
      <w:pPr>
        <w:pStyle w:val="BodyText"/>
      </w:pPr>
      <w:r>
        <w:t xml:space="preserve">The Honorable Court Administration</w:t>
      </w:r>
    </w:p>
    <w:p>
      <w:pPr>
        <w:pStyle w:val="BodyText"/>
      </w:pPr>
      <w:r>
        <w:t xml:space="preserve">Dubai Courts, Judicial Complex</w:t>
      </w:r>
    </w:p>
    <w:p>
      <w:pPr>
        <w:pStyle w:val="BodyText"/>
      </w:pPr>
      <w:r>
        <w:t xml:space="preserve">Sheikh Zayed Road, Al Barsha</w:t>
      </w:r>
    </w:p>
    <w:p>
      <w:pPr>
        <w:pStyle w:val="BodyText"/>
      </w:pPr>
      <w:r>
        <w:t xml:space="preserve">Dubai, United Arab Emirates</w:t>
      </w:r>
    </w:p>
    <w:p>
      <w:pPr>
        <w:pStyle w:val="BodyText"/>
      </w:pPr>
      <w:r>
        <w:t xml:space="preserve">Attn: Procurement &amp; Logistics Division</w:t>
      </w:r>
    </w:p>
    <w:p>
      <w:pPr>
        <w:pStyle w:val="BodyText"/>
      </w:pPr>
      <w:r>
        <w:t xml:space="preserve">Reference: DC-PROC-2025-1187</w:t>
      </w:r>
    </w:p>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submitted in response to the formal request for a complete</w:t>
      </w:r>
      <w:r>
        <w:t xml:space="preserve"> </w:t>
      </w:r>
      <w:r>
        <w:t xml:space="preserve">Judge</w:t>
      </w:r>
      <w:r>
        <w:t xml:space="preserve"> </w:t>
      </w:r>
      <w:r>
        <w:t xml:space="preserve">Chamber supply and installation package for the newly constructed courtroom wing at the Dubai Judicial Complex. The scope encompasses the design, manufacturing, delivery, installation, and commissioning of all furniture, technological systems, ceremonial items, and ancillary equipment required to furnish a fully operational</w:t>
      </w:r>
      <w:r>
        <w:t xml:space="preserve"> </w:t>
      </w:r>
      <w:r>
        <w:t xml:space="preserve">JudgeUnited Arab Emirates</w:t>
      </w:r>
      <w:r>
        <w:t xml:space="preserve">. All materials and workmanship shall comply with the UAE Building and Municipal Code, Dubai Municipality regulations, and the specific aesthetic and functional guidelines issued by the Dubai Courts Interior Design Committee.</w:t>
      </w:r>
    </w:p>
    <w:bookmarkEnd w:id="22"/>
    <w:bookmarkStart w:id="23" w:name="itemized-quotation-estimate"/>
    <w:p>
      <w:pPr>
        <w:pStyle w:val="Heading3"/>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Judge's Bench — Custom Mahogany Paneling with Brass Inlay, Integrated Audio-Visual Console, and Built-in Document Storage (2400mm × 1200mm × 1100mm)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Judge's Chair — Executive High-Back, Full Leather Upholstery (Italian Nappa), Solid Walnut Frame, Adjustable Lumbar Support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Judge's Robe — Traditional Black Judicial Robe with Gold Embroidery, UAE National Emblem, and Court Seal (3 sizes: L, XL, XXL)</w:t>
            </w:r>
          </w:p>
        </w:tc>
        <w:tc>
          <w:tcPr/>
          <w:p>
            <w:pPr>
              <w:pStyle w:val="Compact"/>
              <w:jc w:val="left"/>
            </w:pPr>
            <w:r>
              <w:t xml:space="preserve">3</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Ceremonial Gavel &amp; Sound Block — Solid Rosewood with 24-Karat Gold Plating, Engraved with Court Name and UAE Coat of Arms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Integrated Audio-Visual &amp; Digital System — 4K Display, Multi-Channel Microphone Array, Digital Case File Terminal, Biometric Access Panel, and Networked Communication Hub</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Witness &amp; Defendant Podium Set — Matching Mahogany Finish, Integrated Microphones, and Secure Document Trays (2 units)</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07</w:t>
            </w:r>
          </w:p>
        </w:tc>
        <w:tc>
          <w:tcPr/>
          <w:p>
            <w:pPr>
              <w:pStyle w:val="Compact"/>
              <w:jc w:val="left"/>
            </w:pPr>
            <w:r>
              <w:t xml:space="preserve">Courtroom Seating — Jury/Panel Bench (6 seats), Counsel Tables (2), and Public Gallery Seating (40 seats) in Matching Finish</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08</w:t>
            </w:r>
          </w:p>
        </w:tc>
        <w:tc>
          <w:tcPr/>
          <w:p>
            <w:pPr>
              <w:pStyle w:val="Compact"/>
              <w:jc w:val="left"/>
            </w:pPr>
            <w:r>
              <w:t xml:space="preserve">Wall Paneling &amp; Acoustic Treatment — Full Perimeter Mahogany Wainscoting, Acoustic Baffles, and UAE National Flag Display Mounting</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09</w:t>
            </w:r>
          </w:p>
        </w:tc>
        <w:tc>
          <w:tcPr/>
          <w:p>
            <w:pPr>
              <w:pStyle w:val="Compact"/>
              <w:jc w:val="left"/>
            </w:pPr>
            <w:r>
              <w:t xml:space="preserve">Lighting Package — Recessed LED Panel Lighting, Adjustable Task Lighting for Judge's Desk, and Ambient Accent Lighting (Warm 3000K)</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10</w:t>
            </w:r>
          </w:p>
        </w:tc>
        <w:tc>
          <w:tcPr/>
          <w:p>
            <w:pPr>
              <w:pStyle w:val="Compact"/>
              <w:jc w:val="left"/>
            </w:pPr>
            <w:r>
              <w:t xml:space="preserve">Delivery, Installation, Commissioning &amp; 24-Month Warranty Service — Full logistics within Dubai, UAE; on-site assembly; system calibration; staff training (4 hours); and comprehensive warranty coverage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4"/>
          </w:tcPr>
          <w:p>
            <w:pPr>
              <w:pStyle w:val="Compact"/>
              <w:jc w:val="right"/>
            </w:pPr>
            <w:r>
              <w:t xml:space="preserve">Subtotal (AED)</w:t>
            </w:r>
          </w:p>
        </w:tc>
        <w:tc>
          <w:tcPr/>
          <w:p>
            <w:pPr>
              <w:pStyle w:val="Compact"/>
              <w:jc w:val="left"/>
            </w:pPr>
            <w:r>
              <w:t xml:space="preserve">1,189,900.00</w:t>
            </w:r>
          </w:p>
        </w:tc>
      </w:tr>
      <w:tr>
        <w:tc>
          <w:tcPr>
            <w:gridSpan w:val="4"/>
          </w:tcPr>
          <w:p>
            <w:pPr>
              <w:pStyle w:val="Compact"/>
              <w:jc w:val="right"/>
            </w:pPr>
            <w:r>
              <w:t xml:space="preserve">VAT @ 5% (United Arab Emirates)</w:t>
            </w:r>
          </w:p>
        </w:tc>
        <w:tc>
          <w:tcPr/>
          <w:p>
            <w:pPr>
              <w:pStyle w:val="Compact"/>
              <w:jc w:val="left"/>
            </w:pPr>
            <w:r>
              <w:t xml:space="preserve">59,495.00</w:t>
            </w:r>
          </w:p>
        </w:tc>
      </w:tr>
      <w:tr>
        <w:tc>
          <w:tcPr>
            <w:gridSpan w:val="4"/>
          </w:tcPr>
          <w:p>
            <w:pPr>
              <w:pStyle w:val="Compact"/>
              <w:jc w:val="right"/>
            </w:pPr>
            <w:r>
              <w:t xml:space="preserve">GRAND TOTAL (AED)</w:t>
            </w:r>
          </w:p>
        </w:tc>
        <w:tc>
          <w:tcPr/>
          <w:p>
            <w:pPr>
              <w:pStyle w:val="Compact"/>
              <w:jc w:val="left"/>
            </w:pPr>
            <w:r>
              <w:t xml:space="preserve">1,249,395.00</w:t>
            </w:r>
          </w:p>
        </w:tc>
      </w:tr>
    </w:tbl>
    <w:p>
      <w:pPr>
        <w:pStyle w:val="BodyText"/>
      </w:pPr>
      <w:r>
        <w:t xml:space="preserve">All prices are quoted in United Arab Emirates Dirhams (AED). VAT at 5% is applied in accordance with the Federal Tax Authority regulations of the United Arab Emirates. This Quotation Estimate does not include any municipal permits, structural modifications, or electrical upgrades beyond the scope described above.</w:t>
      </w:r>
    </w:p>
    <w:bookmarkEnd w:id="23"/>
    <w:bookmarkStart w:id="24" w:name="delivery-installation-timeline"/>
    <w:p>
      <w:pPr>
        <w:pStyle w:val="Heading3"/>
      </w:pPr>
      <w:r>
        <w:t xml:space="preserve">3. Delivery &amp; Installation Timeline</w:t>
      </w:r>
    </w:p>
    <w:p>
      <w:pPr>
        <w:pStyle w:val="FirstParagraph"/>
      </w:pPr>
      <w:r>
        <w:t xml:space="preserve">Upon receipt of a signed purchase order and 40% advance payment, the complete</w:t>
      </w:r>
      <w:r>
        <w:t xml:space="preserve"> </w:t>
      </w:r>
      <w:r>
        <w:t xml:space="preserve">Judge</w:t>
      </w:r>
      <w:r>
        <w:t xml:space="preserve"> </w:t>
      </w:r>
      <w:r>
        <w:t xml:space="preserve">Chamber package shall be manufactured within 45 working days. Delivery to the designated courtroom location in</w:t>
      </w:r>
      <w:r>
        <w:t xml:space="preserve"> </w:t>
      </w:r>
      <w:r>
        <w:t xml:space="preserve">Dubai, United Arab Emirates</w:t>
      </w:r>
      <w:r>
        <w:t xml:space="preserve"> </w:t>
      </w:r>
      <w:r>
        <w:t xml:space="preserve">shall be scheduled within 5 working days of manufacturing completion. On-site installation, system integration, and final commissioning shall be completed within 10 working days of delivery. The entire project, from order confirmation to handover, is estimated at a maximum of 60 working days.</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pricing may be subject to revision due to material cost fluctuations in the United Arab Emirates market.</w:t>
      </w:r>
    </w:p>
    <w:p>
      <w:pPr>
        <w:numPr>
          <w:ilvl w:val="0"/>
          <w:numId w:val="1001"/>
        </w:numPr>
        <w:pStyle w:val="Compact"/>
      </w:pPr>
      <w:r>
        <w:rPr>
          <w:bCs/>
          <w:b/>
        </w:rPr>
        <w:t xml:space="preserve">Payment Terms:</w:t>
      </w:r>
      <w:r>
        <w:t xml:space="preserve"> </w:t>
      </w:r>
      <w:r>
        <w:t xml:space="preserve">40% advance upon order confirmation; 40% upon delivery to the Dubai site; 20% upon successful commissioning and sign-off by the Dubai Courts Administration.</w:t>
      </w:r>
    </w:p>
    <w:p>
      <w:pPr>
        <w:numPr>
          <w:ilvl w:val="0"/>
          <w:numId w:val="1001"/>
        </w:numPr>
        <w:pStyle w:val="Compact"/>
      </w:pPr>
      <w:r>
        <w:rPr>
          <w:bCs/>
          <w:b/>
        </w:rPr>
        <w:t xml:space="preserve">Warranty:</w:t>
      </w:r>
      <w:r>
        <w:t xml:space="preserve"> </w:t>
      </w:r>
      <w:r>
        <w:t xml:space="preserve">All furniture and structural elements carry a 24-month comprehensive warranty. Electronic and AV systems carry a 36-month manufacturer warranty. The</w:t>
      </w:r>
      <w:r>
        <w:t xml:space="preserve"> </w:t>
      </w:r>
      <w:r>
        <w:t xml:space="preserve">Judge</w:t>
      </w:r>
      <w:r>
        <w:t xml:space="preserve">'s robe and ceremonial gavel carry a 12-month workmanship warranty.</w:t>
      </w:r>
    </w:p>
    <w:p>
      <w:pPr>
        <w:numPr>
          <w:ilvl w:val="0"/>
          <w:numId w:val="1001"/>
        </w:numPr>
        <w:pStyle w:val="Compact"/>
      </w:pPr>
      <w:r>
        <w:rPr>
          <w:bCs/>
          <w:b/>
        </w:rPr>
        <w:t xml:space="preserve">Compliance:</w:t>
      </w:r>
      <w:r>
        <w:t xml:space="preserve"> </w:t>
      </w:r>
      <w:r>
        <w:t xml:space="preserve">All items shall conform to the specifications approved by the Dubai Courts Interior Standards Committee and the Federal Judicial Authority of the United Arab Emirates. Certificates of conformity shall be provided upon delivery.</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United Arab Emirates, with jurisdiction vested in the Dubai Courts.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directives, natural disasters, or supply chain disruptions within the UAE or internationally.</w:t>
      </w:r>
    </w:p>
    <w:p>
      <w:pPr>
        <w:numPr>
          <w:ilvl w:val="0"/>
          <w:numId w:val="1001"/>
        </w:numPr>
        <w:pStyle w:val="Compact"/>
      </w:pPr>
      <w:r>
        <w:rPr>
          <w:bCs/>
          <w:b/>
        </w:rPr>
        <w:t xml:space="preserve">Confidentiality:</w:t>
      </w:r>
      <w:r>
        <w:t xml:space="preserve"> </w:t>
      </w:r>
      <w:r>
        <w:t xml:space="preserve">All design specifications, measurements, and project details contained in this Quotation Estimate are classified as confidential and shall not be disclosed to third parties without written consent from the Dubai Courts Administration.</w:t>
      </w:r>
    </w:p>
    <w:bookmarkEnd w:id="25"/>
    <w:bookmarkStart w:id="26" w:name="acceptance-authorization"/>
    <w:p>
      <w:pPr>
        <w:pStyle w:val="Heading3"/>
      </w:pPr>
      <w:r>
        <w:t xml:space="preserve">5. Acceptance &amp; Authorization</w:t>
      </w:r>
    </w:p>
    <w:p>
      <w:pPr>
        <w:pStyle w:val="FirstParagraph"/>
      </w:pPr>
      <w:r>
        <w:t xml:space="preserve">By signing below, the recipient acknowledges receipt of this</w:t>
      </w:r>
      <w:r>
        <w:t xml:space="preserve"> </w:t>
      </w:r>
      <w:r>
        <w:t xml:space="preserve">Quotation Estimate</w:t>
      </w:r>
      <w:r>
        <w:t xml:space="preserve"> </w:t>
      </w:r>
      <w:r>
        <w:t xml:space="preserve">and agrees to the terms and conditions outlined herein. This document constitutes a binding offer for the supply and installation of the</w:t>
      </w:r>
      <w:r>
        <w:t xml:space="preserve"> </w:t>
      </w:r>
      <w:r>
        <w:t xml:space="preserve">Judge</w:t>
      </w:r>
      <w:r>
        <w:t xml:space="preserve"> </w:t>
      </w:r>
      <w:r>
        <w:t xml:space="preserve">Chamber package as described, to be executed in</w:t>
      </w:r>
      <w:r>
        <w:t xml:space="preserve"> </w:t>
      </w:r>
      <w:r>
        <w:t xml:space="preserve">Dubai, United Arab Emirates</w:t>
      </w:r>
      <w:r>
        <w:t xml:space="preserve">.</w:t>
      </w:r>
    </w:p>
    <w:p>
      <w:pPr>
        <w:pStyle w:val="BodyText"/>
      </w:pPr>
      <w:r>
        <w:rPr>
          <w:bCs/>
          <w:b/>
        </w:rPr>
        <w:t xml:space="preserve">For Al Marjan Judicial Furnishings LLC</w:t>
      </w:r>
    </w:p>
    <w:p>
      <w:pPr>
        <w:pStyle w:val="BodyText"/>
      </w:pPr>
      <w:r>
        <w:t xml:space="preserve">Name: Khalid Al Mansoori</w:t>
      </w:r>
    </w:p>
    <w:p>
      <w:pPr>
        <w:pStyle w:val="BodyText"/>
      </w:pPr>
      <w:r>
        <w:t xml:space="preserve">Title: General Manager</w:t>
      </w:r>
    </w:p>
    <w:p>
      <w:pPr>
        <w:pStyle w:val="BodyText"/>
      </w:pPr>
      <w:r>
        <w:t xml:space="preserve">Date: _______________</w:t>
      </w:r>
    </w:p>
    <w:p>
      <w:pPr>
        <w:pStyle w:val="BodyText"/>
      </w:pPr>
      <w:r>
        <w:rPr>
          <w:bCs/>
          <w:b/>
        </w:rPr>
        <w:t xml:space="preserve">For Dubai Courts Administration</w:t>
      </w:r>
    </w:p>
    <w:p>
      <w:pPr>
        <w:pStyle w:val="BodyText"/>
      </w:pPr>
      <w:r>
        <w:t xml:space="preserve">Name: _________________________</w:t>
      </w:r>
    </w:p>
    <w:p>
      <w:pPr>
        <w:pStyle w:val="BodyText"/>
      </w:pPr>
      <w:r>
        <w:t xml:space="preserve">Title: Head of Procurement</w:t>
      </w:r>
    </w:p>
    <w:p>
      <w:pPr>
        <w:pStyle w:val="BodyText"/>
      </w:pPr>
      <w:r>
        <w:t xml:space="preserve">Date: _______________</w:t>
      </w:r>
    </w:p>
    <w:p>
      <w:pPr>
        <w:pStyle w:val="BodyText"/>
      </w:pPr>
      <w:r>
        <w:t xml:space="preserve">Al Marjan Judicial Furnishings LLC — Dubai, United Arab Emirates</w:t>
      </w:r>
    </w:p>
    <w:p>
      <w:pPr>
        <w:pStyle w:val="BodyText"/>
      </w:pPr>
      <w:r>
        <w:t xml:space="preserve">CR: 1048723 | VAT No: 100487230000003 | TRN: 100487230000003</w:t>
      </w:r>
    </w:p>
    <w:p>
      <w:pPr>
        <w:pStyle w:val="BodyText"/>
      </w:pPr>
      <w:r>
        <w:t xml:space="preserve">This Quotation Estimate is a controlled document. Unauthorized reproduction or distribution is prohibited under UAE Federal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Chamber Package - United Arab Emirates Dubai</dc:title>
  <dc:creator/>
  <dc:language>en</dc:language>
  <cp:keywords/>
  <dcterms:created xsi:type="dcterms:W3CDTF">2026-10-10T04:25:18Z</dcterms:created>
  <dcterms:modified xsi:type="dcterms:W3CDTF">2026-10-10T04:25:18Z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