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1" w:name="quotation-estimate"/>
    <w:p>
      <w:pPr>
        <w:pStyle w:val="Heading1"/>
      </w:pPr>
      <w:r>
        <w:t xml:space="preserve">QUOTATION ESTIMATE</w:t>
      </w:r>
    </w:p>
    <w:bookmarkStart w:id="20" w:name="X2dd9dd9b23c11841d78373d55bda8c3e1d7be84"/>
    <w:p>
      <w:pPr>
        <w:pStyle w:val="Heading2"/>
      </w:pPr>
      <w:r>
        <w:t xml:space="preserve">Judge — Judicial Case Management &amp; Analytics Platform</w:t>
      </w:r>
    </w:p>
    <w:p>
      <w:pPr>
        <w:pStyle w:val="FirstParagraph"/>
      </w:pPr>
      <w:r>
        <w:t xml:space="preserve">Prepared for Deployment in the United States — San Francisco, California</w:t>
      </w:r>
    </w:p>
    <w:bookmarkEnd w:id="20"/>
    <w:bookmarkEnd w:id="21"/>
    <w:p>
      <w:pPr>
        <w:pStyle w:val="BodyText"/>
      </w:pPr>
      <w:r>
        <w:rPr>
          <w:bCs/>
          <w:b/>
        </w:rPr>
        <w:t xml:space="preserve">Quotation No.:</w:t>
      </w:r>
      <w:r>
        <w:t xml:space="preserve"> </w:t>
      </w:r>
      <w:r>
        <w:t xml:space="preserve">QTE-SF-2025-0487</w:t>
      </w:r>
      <w:r>
        <w:br/>
      </w:r>
      <w:r>
        <w:rPr>
          <w:bCs/>
          <w:b/>
        </w:rPr>
        <w:t xml:space="preserve">Date Issued:</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Prepared By:</w:t>
      </w:r>
      <w:r>
        <w:t xml:space="preserve"> </w:t>
      </w:r>
      <w:r>
        <w:t xml:space="preserve">Meridian Legal Systems, Inc.</w:t>
      </w:r>
      <w:r>
        <w:br/>
      </w:r>
      <w:r>
        <w:rPr>
          <w:bCs/>
          <w:b/>
        </w:rPr>
        <w:t xml:space="preserve">Address:</w:t>
      </w:r>
      <w:r>
        <w:t xml:space="preserve"> </w:t>
      </w:r>
      <w:r>
        <w:t xml:space="preserve">450 Market Street, Suite 1200</w:t>
      </w:r>
      <w:r>
        <w:br/>
      </w:r>
      <w:r>
        <w:t xml:space="preserve">San Francisco, CA 94105, United States</w:t>
      </w:r>
    </w:p>
    <w:bookmarkStart w:id="22" w:name="X0c7581080508d578c26b6d8dfd726c7e3ca5cc9"/>
    <w:p>
      <w:pPr>
        <w:pStyle w:val="Heading3"/>
      </w:pPr>
      <w:r>
        <w:t xml:space="preserve">1. Purpose and Scope of This Quotation Estimate</w:t>
      </w:r>
    </w:p>
    <w:p>
      <w:pPr>
        <w:pStyle w:val="FirstParagraph"/>
      </w:pPr>
      <w:r>
        <w:t xml:space="preserve">This Quotation Estimate document is issued by Meridian Legal Systems, Inc. in response to the formal request for proposal submitted by the San Francisco Superior Court Administrative Office. The purpose of this Quotation Estimate is to provide a comprehensive, itemized financial breakdown for the procurement, deployment, and initial support of the</w:t>
      </w:r>
      <w:r>
        <w:t xml:space="preserve"> </w:t>
      </w:r>
      <w:r>
        <w:rPr>
          <w:bCs/>
          <w:b/>
        </w:rPr>
        <w:t xml:space="preserve">Judge</w:t>
      </w:r>
      <w:r>
        <w:t xml:space="preserve"> </w:t>
      </w:r>
      <w:r>
        <w:t xml:space="preserve">platform — a next-generation judicial case management and analytics system — for use within the United States, specifically the San Francisco, California jurisdiction.</w:t>
      </w:r>
    </w:p>
    <w:p>
      <w:pPr>
        <w:pStyle w:val="BodyText"/>
      </w:pPr>
      <w:r>
        <w:t xml:space="preserve">The Judge platform is designed to streamline case docketing, evidence management, scheduling, and judicial decision-support workflows. This Quotation Estimate covers all costs associated with licensing, hardware provisioning, software installation, staff training, and a twelve-month post-deployment support contract. All pricing is presented in United States Dollars (USD) and is subject to the terms and conditions outlined in Section 7 of this document.</w:t>
      </w:r>
    </w:p>
    <w:bookmarkEnd w:id="22"/>
    <w:bookmarkStart w:id="23" w:name="client-and-project-details"/>
    <w:p>
      <w:pPr>
        <w:pStyle w:val="Heading3"/>
      </w:pPr>
      <w:r>
        <w:t xml:space="preserve">2. Client and Project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Entity</w:t>
            </w:r>
          </w:p>
        </w:tc>
        <w:tc>
          <w:tcPr/>
          <w:p>
            <w:pPr>
              <w:pStyle w:val="Compact"/>
              <w:jc w:val="left"/>
            </w:pPr>
            <w:r>
              <w:t xml:space="preserve">San Francisco Superior Court, Administrative Office</w:t>
            </w:r>
          </w:p>
        </w:tc>
      </w:tr>
      <w:tr>
        <w:tc>
          <w:tcPr/>
          <w:p>
            <w:pPr>
              <w:pStyle w:val="Compact"/>
              <w:jc w:val="left"/>
            </w:pPr>
            <w:r>
              <w:t xml:space="preserve">Project Location</w:t>
            </w:r>
          </w:p>
        </w:tc>
        <w:tc>
          <w:tcPr/>
          <w:p>
            <w:pPr>
              <w:pStyle w:val="Compact"/>
              <w:jc w:val="left"/>
            </w:pPr>
            <w:r>
              <w:t xml:space="preserve">100 Civic Center Plaza, San Francisco, CA 94103, United States</w:t>
            </w:r>
          </w:p>
        </w:tc>
      </w:tr>
      <w:tr>
        <w:tc>
          <w:tcPr/>
          <w:p>
            <w:pPr>
              <w:pStyle w:val="Compact"/>
              <w:jc w:val="left"/>
            </w:pPr>
            <w:r>
              <w:t xml:space="preserve">System Name</w:t>
            </w:r>
          </w:p>
        </w:tc>
        <w:tc>
          <w:tcPr/>
          <w:p>
            <w:pPr>
              <w:pStyle w:val="Compact"/>
              <w:jc w:val="left"/>
            </w:pPr>
            <w:r>
              <w:t xml:space="preserve">Judge — Judicial Case Management &amp; Analytics Platform (Version 4.2)</w:t>
            </w:r>
          </w:p>
        </w:tc>
      </w:tr>
      <w:tr>
        <w:tc>
          <w:tcPr/>
          <w:p>
            <w:pPr>
              <w:pStyle w:val="Compact"/>
              <w:jc w:val="left"/>
            </w:pPr>
            <w:r>
              <w:t xml:space="preserve">Number of Judicial Seats</w:t>
            </w:r>
          </w:p>
        </w:tc>
        <w:tc>
          <w:tcPr/>
          <w:p>
            <w:pPr>
              <w:pStyle w:val="Compact"/>
              <w:jc w:val="left"/>
            </w:pPr>
            <w:r>
              <w:t xml:space="preserve">48 (Honorable Judges and Magistrate Judges)</w:t>
            </w:r>
          </w:p>
        </w:tc>
      </w:tr>
      <w:tr>
        <w:tc>
          <w:tcPr/>
          <w:p>
            <w:pPr>
              <w:pStyle w:val="Compact"/>
              <w:jc w:val="left"/>
            </w:pPr>
            <w:r>
              <w:t xml:space="preserve">Number of Staff Seats</w:t>
            </w:r>
          </w:p>
        </w:tc>
        <w:tc>
          <w:tcPr/>
          <w:p>
            <w:pPr>
              <w:pStyle w:val="Compact"/>
              <w:jc w:val="left"/>
            </w:pPr>
            <w:r>
              <w:t xml:space="preserve">120 (Clerks, Paralegals, Court Reporters)</w:t>
            </w:r>
          </w:p>
        </w:tc>
      </w:tr>
      <w:tr>
        <w:tc>
          <w:tcPr/>
          <w:p>
            <w:pPr>
              <w:pStyle w:val="Compact"/>
              <w:jc w:val="left"/>
            </w:pPr>
            <w:r>
              <w:t xml:space="preserve">Deployment Timeline</w:t>
            </w:r>
          </w:p>
        </w:tc>
        <w:tc>
          <w:tcPr/>
          <w:p>
            <w:pPr>
              <w:pStyle w:val="Compact"/>
              <w:jc w:val="left"/>
            </w:pPr>
            <w:r>
              <w:t xml:space="preserve">14 weeks from contract execution</w:t>
            </w:r>
          </w:p>
        </w:tc>
      </w:tr>
    </w:tbl>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3.1</w:t>
            </w:r>
          </w:p>
        </w:tc>
        <w:tc>
          <w:tcPr/>
          <w:p>
            <w:pPr>
              <w:pStyle w:val="Compact"/>
              <w:jc w:val="left"/>
            </w:pPr>
            <w:r>
              <w:t xml:space="preserve">Judge Platform — Perpetual License (Judicial Seats)</w:t>
            </w:r>
          </w:p>
        </w:tc>
        <w:tc>
          <w:tcPr/>
          <w:p>
            <w:pPr>
              <w:pStyle w:val="Compact"/>
              <w:jc w:val="left"/>
            </w:pPr>
            <w:r>
              <w:t xml:space="preserve">48</w:t>
            </w:r>
          </w:p>
        </w:tc>
        <w:tc>
          <w:tcPr/>
          <w:p>
            <w:pPr>
              <w:pStyle w:val="Compact"/>
              <w:jc w:val="left"/>
            </w:pPr>
            <w:r>
              <w:t xml:space="preserve">$12,500.00</w:t>
            </w:r>
          </w:p>
        </w:tc>
        <w:tc>
          <w:tcPr/>
          <w:p>
            <w:pPr>
              <w:pStyle w:val="Compact"/>
              <w:jc w:val="left"/>
            </w:pPr>
            <w:r>
              <w:t xml:space="preserve">$600,000.00</w:t>
            </w:r>
          </w:p>
        </w:tc>
      </w:tr>
      <w:tr>
        <w:tc>
          <w:tcPr/>
          <w:p>
            <w:pPr>
              <w:pStyle w:val="Compact"/>
              <w:jc w:val="left"/>
            </w:pPr>
            <w:r>
              <w:t xml:space="preserve">3.2</w:t>
            </w:r>
          </w:p>
        </w:tc>
        <w:tc>
          <w:tcPr/>
          <w:p>
            <w:pPr>
              <w:pStyle w:val="Compact"/>
              <w:jc w:val="left"/>
            </w:pPr>
            <w:r>
              <w:t xml:space="preserve">Judge Platform — Perpetual License (Staff Seats)</w:t>
            </w:r>
          </w:p>
        </w:tc>
        <w:tc>
          <w:tcPr/>
          <w:p>
            <w:pPr>
              <w:pStyle w:val="Compact"/>
              <w:jc w:val="left"/>
            </w:pPr>
            <w:r>
              <w:t xml:space="preserve">120</w:t>
            </w:r>
          </w:p>
        </w:tc>
        <w:tc>
          <w:tcPr/>
          <w:p>
            <w:pPr>
              <w:pStyle w:val="Compact"/>
              <w:jc w:val="left"/>
            </w:pPr>
            <w:r>
              <w:t xml:space="preserve">$4,200.00</w:t>
            </w:r>
          </w:p>
        </w:tc>
        <w:tc>
          <w:tcPr/>
          <w:p>
            <w:pPr>
              <w:pStyle w:val="Compact"/>
              <w:jc w:val="left"/>
            </w:pPr>
            <w:r>
              <w:t xml:space="preserve">$504,000.00</w:t>
            </w:r>
          </w:p>
        </w:tc>
      </w:tr>
      <w:tr>
        <w:tc>
          <w:tcPr/>
          <w:p>
            <w:pPr>
              <w:pStyle w:val="Compact"/>
              <w:jc w:val="left"/>
            </w:pPr>
            <w:r>
              <w:t xml:space="preserve">3.3</w:t>
            </w:r>
          </w:p>
        </w:tc>
        <w:tc>
          <w:tcPr/>
          <w:p>
            <w:pPr>
              <w:pStyle w:val="Compact"/>
              <w:jc w:val="left"/>
            </w:pPr>
            <w:r>
              <w:t xml:space="preserve">Judge Analytics Module (AI-Assisted Precedent Search)</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3.4</w:t>
            </w:r>
          </w:p>
        </w:tc>
        <w:tc>
          <w:tcPr/>
          <w:p>
            <w:pPr>
              <w:pStyle w:val="Compact"/>
              <w:jc w:val="left"/>
            </w:pPr>
            <w:r>
              <w:t xml:space="preserve">Hardware — Server Infrastructure (Rack-mounted, San Francisco Data Center)</w:t>
            </w:r>
          </w:p>
        </w:tc>
        <w:tc>
          <w:tcPr/>
          <w:p>
            <w:pPr>
              <w:pStyle w:val="Compact"/>
              <w:jc w:val="left"/>
            </w:pPr>
            <w:r>
              <w:t xml:space="preserve">6</w:t>
            </w:r>
          </w:p>
        </w:tc>
        <w:tc>
          <w:tcPr/>
          <w:p>
            <w:pPr>
              <w:pStyle w:val="Compact"/>
              <w:jc w:val="left"/>
            </w:pPr>
            <w:r>
              <w:t xml:space="preserve">$28,750.00</w:t>
            </w:r>
          </w:p>
        </w:tc>
        <w:tc>
          <w:tcPr/>
          <w:p>
            <w:pPr>
              <w:pStyle w:val="Compact"/>
              <w:jc w:val="left"/>
            </w:pPr>
            <w:r>
              <w:t xml:space="preserve">$172,500.00</w:t>
            </w:r>
          </w:p>
        </w:tc>
      </w:tr>
      <w:tr>
        <w:tc>
          <w:tcPr/>
          <w:p>
            <w:pPr>
              <w:pStyle w:val="Compact"/>
              <w:jc w:val="left"/>
            </w:pPr>
            <w:r>
              <w:t xml:space="preserve">3.5</w:t>
            </w:r>
          </w:p>
        </w:tc>
        <w:tc>
          <w:tcPr/>
          <w:p>
            <w:pPr>
              <w:pStyle w:val="Compact"/>
              <w:jc w:val="left"/>
            </w:pPr>
            <w:r>
              <w:t xml:space="preserve">Hardware — Workstation Terminals (Judicial Chambers)</w:t>
            </w:r>
          </w:p>
        </w:tc>
        <w:tc>
          <w:tcPr/>
          <w:p>
            <w:pPr>
              <w:pStyle w:val="Compact"/>
              <w:jc w:val="left"/>
            </w:pPr>
            <w:r>
              <w:t xml:space="preserve">48</w:t>
            </w:r>
          </w:p>
        </w:tc>
        <w:tc>
          <w:tcPr/>
          <w:p>
            <w:pPr>
              <w:pStyle w:val="Compact"/>
              <w:jc w:val="left"/>
            </w:pPr>
            <w:r>
              <w:t xml:space="preserve">$3,400.00</w:t>
            </w:r>
          </w:p>
        </w:tc>
        <w:tc>
          <w:tcPr/>
          <w:p>
            <w:pPr>
              <w:pStyle w:val="Compact"/>
              <w:jc w:val="left"/>
            </w:pPr>
            <w:r>
              <w:t xml:space="preserve">$163,200.00</w:t>
            </w:r>
          </w:p>
        </w:tc>
      </w:tr>
      <w:tr>
        <w:tc>
          <w:tcPr/>
          <w:p>
            <w:pPr>
              <w:pStyle w:val="Compact"/>
              <w:jc w:val="left"/>
            </w:pPr>
            <w:r>
              <w:t xml:space="preserve">3.6</w:t>
            </w:r>
          </w:p>
        </w:tc>
        <w:tc>
          <w:tcPr/>
          <w:p>
            <w:pPr>
              <w:pStyle w:val="Compact"/>
              <w:jc w:val="left"/>
            </w:pPr>
            <w:r>
              <w:t xml:space="preserve">Network Security &amp; Encryption Suite (FIPS 140-2 Compliant)</w:t>
            </w:r>
          </w:p>
        </w:tc>
        <w:tc>
          <w:tcPr/>
          <w:p>
            <w:pPr>
              <w:pStyle w:val="Compact"/>
              <w:jc w:val="left"/>
            </w:pPr>
            <w:r>
              <w:t xml:space="preserve">1</w:t>
            </w:r>
          </w:p>
        </w:tc>
        <w:tc>
          <w:tcPr/>
          <w:p>
            <w:pPr>
              <w:pStyle w:val="Compact"/>
              <w:jc w:val="left"/>
            </w:pPr>
            <w:r>
              <w:t xml:space="preserve">$92,000.00</w:t>
            </w:r>
          </w:p>
        </w:tc>
        <w:tc>
          <w:tcPr/>
          <w:p>
            <w:pPr>
              <w:pStyle w:val="Compact"/>
              <w:jc w:val="left"/>
            </w:pPr>
            <w:r>
              <w:t xml:space="preserve">$92,000.00</w:t>
            </w:r>
          </w:p>
        </w:tc>
      </w:tr>
      <w:tr>
        <w:tc>
          <w:tcPr/>
          <w:p>
            <w:pPr>
              <w:pStyle w:val="Compact"/>
              <w:jc w:val="left"/>
            </w:pPr>
            <w:r>
              <w:t xml:space="preserve">3.7</w:t>
            </w:r>
          </w:p>
        </w:tc>
        <w:tc>
          <w:tcPr/>
          <w:p>
            <w:pPr>
              <w:pStyle w:val="Compact"/>
              <w:jc w:val="left"/>
            </w:pPr>
            <w:r>
              <w:t xml:space="preserve">Installation, Configuration &amp; Data Migration Services</w:t>
            </w:r>
          </w:p>
        </w:tc>
        <w:tc>
          <w:tcPr/>
          <w:p>
            <w:pPr>
              <w:pStyle w:val="Compact"/>
              <w:jc w:val="left"/>
            </w:pPr>
            <w:r>
              <w:t xml:space="preserve">1</w:t>
            </w:r>
          </w:p>
        </w:tc>
        <w:tc>
          <w:tcPr/>
          <w:p>
            <w:pPr>
              <w:pStyle w:val="Compact"/>
              <w:jc w:val="left"/>
            </w:pPr>
            <w:r>
              <w:t xml:space="preserve">$148,000.00</w:t>
            </w:r>
          </w:p>
        </w:tc>
        <w:tc>
          <w:tcPr/>
          <w:p>
            <w:pPr>
              <w:pStyle w:val="Compact"/>
              <w:jc w:val="left"/>
            </w:pPr>
            <w:r>
              <w:t xml:space="preserve">$148,000.00</w:t>
            </w:r>
          </w:p>
        </w:tc>
      </w:tr>
      <w:tr>
        <w:tc>
          <w:tcPr/>
          <w:p>
            <w:pPr>
              <w:pStyle w:val="Compact"/>
              <w:jc w:val="left"/>
            </w:pPr>
            <w:r>
              <w:t xml:space="preserve">3.8</w:t>
            </w:r>
          </w:p>
        </w:tc>
        <w:tc>
          <w:tcPr/>
          <w:p>
            <w:pPr>
              <w:pStyle w:val="Compact"/>
              <w:jc w:val="left"/>
            </w:pPr>
            <w:r>
              <w:t xml:space="preserve">Staff Training Program (On-site, San Francisco — 5-Day Intensive)</w:t>
            </w:r>
          </w:p>
        </w:tc>
        <w:tc>
          <w:tcPr/>
          <w:p>
            <w:pPr>
              <w:pStyle w:val="Compact"/>
              <w:jc w:val="left"/>
            </w:pPr>
            <w:r>
              <w:t xml:space="preserve">1</w:t>
            </w:r>
          </w:p>
        </w:tc>
        <w:tc>
          <w:tcPr/>
          <w:p>
            <w:pPr>
              <w:pStyle w:val="Compact"/>
              <w:jc w:val="left"/>
            </w:pPr>
            <w:r>
              <w:t xml:space="preserve">$76,500.00</w:t>
            </w:r>
          </w:p>
        </w:tc>
        <w:tc>
          <w:tcPr/>
          <w:p>
            <w:pPr>
              <w:pStyle w:val="Compact"/>
              <w:jc w:val="left"/>
            </w:pPr>
            <w:r>
              <w:t xml:space="preserve">$76,500.00</w:t>
            </w:r>
          </w:p>
        </w:tc>
      </w:tr>
      <w:tr>
        <w:tc>
          <w:tcPr/>
          <w:p>
            <w:pPr>
              <w:pStyle w:val="Compact"/>
              <w:jc w:val="left"/>
            </w:pPr>
            <w:r>
              <w:t xml:space="preserve">3.9</w:t>
            </w:r>
          </w:p>
        </w:tc>
        <w:tc>
          <w:tcPr/>
          <w:p>
            <w:pPr>
              <w:pStyle w:val="Compact"/>
              <w:jc w:val="left"/>
            </w:pPr>
            <w:r>
              <w:t xml:space="preserve">12-Month Post-Deployment Support &amp; Maintenance Contract</w:t>
            </w:r>
          </w:p>
        </w:tc>
        <w:tc>
          <w:tcPr/>
          <w:p>
            <w:pPr>
              <w:pStyle w:val="Compact"/>
              <w:jc w:val="left"/>
            </w:pPr>
            <w:r>
              <w:t xml:space="preserve">1</w:t>
            </w:r>
          </w:p>
        </w:tc>
        <w:tc>
          <w:tcPr/>
          <w:p>
            <w:pPr>
              <w:pStyle w:val="Compact"/>
              <w:jc w:val="left"/>
            </w:pPr>
            <w:r>
              <w:t xml:space="preserve">$210,000.00</w:t>
            </w:r>
          </w:p>
        </w:tc>
        <w:tc>
          <w:tcPr/>
          <w:p>
            <w:pPr>
              <w:pStyle w:val="Compact"/>
              <w:jc w:val="left"/>
            </w:pPr>
            <w:r>
              <w:t xml:space="preserve">$210,000.00</w:t>
            </w:r>
          </w:p>
        </w:tc>
      </w:tr>
      <w:tr>
        <w:tc>
          <w:tcPr/>
          <w:p>
            <w:pPr>
              <w:pStyle w:val="Compact"/>
              <w:jc w:val="left"/>
            </w:pPr>
            <w:r>
              <w:t xml:space="preserve">3.10</w:t>
            </w:r>
          </w:p>
        </w:tc>
        <w:tc>
          <w:tcPr/>
          <w:p>
            <w:pPr>
              <w:pStyle w:val="Compact"/>
              <w:jc w:val="left"/>
            </w:pPr>
            <w:r>
              <w:t xml:space="preserve">Custom Integration with California Courts E-Filing System</w:t>
            </w:r>
          </w:p>
        </w:tc>
        <w:tc>
          <w:tcPr/>
          <w:p>
            <w:pPr>
              <w:pStyle w:val="Compact"/>
              <w:jc w:val="left"/>
            </w:pPr>
            <w:r>
              <w:t xml:space="preserve">1</w:t>
            </w:r>
          </w:p>
        </w:tc>
        <w:tc>
          <w:tcPr/>
          <w:p>
            <w:pPr>
              <w:pStyle w:val="Compact"/>
              <w:jc w:val="left"/>
            </w:pPr>
            <w:r>
              <w:t xml:space="preserve">$67,500.00</w:t>
            </w:r>
          </w:p>
        </w:tc>
        <w:tc>
          <w:tcPr/>
          <w:p>
            <w:pPr>
              <w:pStyle w:val="Compact"/>
              <w:jc w:val="left"/>
            </w:pPr>
            <w:r>
              <w:t xml:space="preserve">$67,500.00</w:t>
            </w:r>
          </w:p>
        </w:tc>
      </w:tr>
      <w:tr>
        <w:tc>
          <w:tcPr>
            <w:gridSpan w:val="4"/>
          </w:tcPr>
          <w:p>
            <w:pPr>
              <w:pStyle w:val="Compact"/>
              <w:jc w:val="right"/>
            </w:pPr>
            <w:r>
              <w:t xml:space="preserve">Subtotal (Pre-Tax)</w:t>
            </w:r>
          </w:p>
        </w:tc>
        <w:tc>
          <w:tcPr/>
          <w:p>
            <w:pPr>
              <w:pStyle w:val="Compact"/>
              <w:jc w:val="left"/>
            </w:pPr>
            <w:r>
              <w:t xml:space="preserve">$2,324,700.00</w:t>
            </w:r>
          </w:p>
        </w:tc>
      </w:tr>
      <w:tr>
        <w:tc>
          <w:tcPr>
            <w:gridSpan w:val="4"/>
          </w:tcPr>
          <w:p>
            <w:pPr>
              <w:pStyle w:val="Compact"/>
              <w:jc w:val="right"/>
            </w:pPr>
            <w:r>
              <w:t xml:space="preserve">Applicable Sales &amp; Use Tax (San Francisco, CA — 8.63%)</w:t>
            </w:r>
          </w:p>
        </w:tc>
        <w:tc>
          <w:tcPr/>
          <w:p>
            <w:pPr>
              <w:pStyle w:val="Compact"/>
              <w:jc w:val="left"/>
            </w:pPr>
            <w:r>
              <w:t xml:space="preserve">$200,621.61</w:t>
            </w:r>
          </w:p>
        </w:tc>
      </w:tr>
      <w:tr>
        <w:tc>
          <w:tcPr>
            <w:gridSpan w:val="4"/>
          </w:tcPr>
          <w:p>
            <w:pPr>
              <w:pStyle w:val="Compact"/>
              <w:jc w:val="right"/>
            </w:pPr>
            <w:r>
              <w:t xml:space="preserve">TOTAL ESTIMATED COST</w:t>
            </w:r>
          </w:p>
        </w:tc>
        <w:tc>
          <w:tcPr/>
          <w:p>
            <w:pPr>
              <w:pStyle w:val="Compact"/>
              <w:jc w:val="left"/>
            </w:pPr>
            <w:r>
              <w:t xml:space="preserve">$2,525,321.61</w:t>
            </w:r>
          </w:p>
        </w:tc>
      </w:tr>
    </w:tbl>
    <w:bookmarkEnd w:id="24"/>
    <w:bookmarkStart w:id="25" w:name="X985eb999f0cfcda5f1af1a675bf0b7c2e0a6c64"/>
    <w:p>
      <w:pPr>
        <w:pStyle w:val="Heading3"/>
      </w:pPr>
      <w:r>
        <w:t xml:space="preserve">4. Terms and Conditions of This Quotation Estimate</w:t>
      </w:r>
    </w:p>
    <w:p>
      <w:pPr>
        <w:pStyle w:val="FirstParagraph"/>
      </w:pPr>
      <w:r>
        <w:rPr>
          <w:bCs/>
          <w:b/>
        </w:rPr>
        <w:t xml:space="preserve">4.1 Validity.</w:t>
      </w:r>
      <w:r>
        <w:t xml:space="preserve"> </w:t>
      </w:r>
      <w:r>
        <w:t xml:space="preserve">This Quotation Estimate shall remain valid for a period of ninety (90) calendar days from the date of issuance. After this period, all pricing is subject to revision based on market conditions, hardware availability, and applicable tax rates in the United States.</w:t>
      </w:r>
    </w:p>
    <w:p>
      <w:pPr>
        <w:pStyle w:val="BodyText"/>
      </w:pPr>
      <w:r>
        <w:rPr>
          <w:bCs/>
          <w:b/>
        </w:rPr>
        <w:t xml:space="preserve">4.2 Payment Schedule.</w:t>
      </w:r>
      <w:r>
        <w:t xml:space="preserve"> </w:t>
      </w:r>
      <w:r>
        <w:t xml:space="preserve">Payment shall be structured as follows: 30% upon contract execution, 40% upon successful installation and system go-live in San Francisco, and 30% upon completion of the staff training program and final acceptance sign-off by the presiding Judge of the Administrative Division.</w:t>
      </w:r>
    </w:p>
    <w:p>
      <w:pPr>
        <w:pStyle w:val="BodyText"/>
      </w:pPr>
      <w:r>
        <w:rPr>
          <w:bCs/>
          <w:b/>
        </w:rPr>
        <w:t xml:space="preserve">4.3 Governing Law.</w:t>
      </w:r>
      <w:r>
        <w:t xml:space="preserve"> </w:t>
      </w:r>
      <w:r>
        <w:t xml:space="preserve">This Quotation Estimate and any resulting contract shall be governed by the laws of the State of California, United States, and the applicable federal regulations pertaining to judicial procurement. Disputes shall be resolved in the Superior Court of California, County of San Francisco.</w:t>
      </w:r>
    </w:p>
    <w:p>
      <w:pPr>
        <w:pStyle w:val="BodyText"/>
      </w:pPr>
      <w:r>
        <w:rPr>
          <w:bCs/>
          <w:b/>
        </w:rPr>
        <w:t xml:space="preserve">4.4 Compliance.</w:t>
      </w:r>
      <w:r>
        <w:t xml:space="preserve"> </w:t>
      </w:r>
      <w:r>
        <w:t xml:space="preserve">The Judge platform and all associated services shall comply with the California Public Records Act, the Federal Records Act, and all data privacy requirements under the California Consumer Privacy Act (CCPA) as applicable to government entities.</w:t>
      </w:r>
    </w:p>
    <w:bookmarkEnd w:id="25"/>
    <w:bookmarkStart w:id="26" w:name="assumptions-and-exclusions"/>
    <w:p>
      <w:pPr>
        <w:pStyle w:val="Heading3"/>
      </w:pPr>
      <w:r>
        <w:t xml:space="preserve">5. Assumptions and Exclusions</w:t>
      </w:r>
    </w:p>
    <w:p>
      <w:pPr>
        <w:pStyle w:val="FirstParagraph"/>
      </w:pPr>
      <w:r>
        <w:t xml:space="preserve">This Quotation Estimate assumes that the San Francisco Superior Court facility at 100 Civic Center Plaza will provide adequate electrical capacity, climate control, and physical security for the server infrastructure. Costs associated with facility modifications, additional network cabling beyond the standard rack-to-workstation runs, and any third-party software licenses not explicitly listed herein are excluded from this estimate. The Judge platform license does not include perpetual access to the external legal research database; a separate subscription agreement will be required for that service.</w:t>
      </w:r>
    </w:p>
    <w:bookmarkEnd w:id="26"/>
    <w:bookmarkStart w:id="27" w:name="acceptance-and-authorization"/>
    <w:p>
      <w:pPr>
        <w:pStyle w:val="Heading3"/>
      </w:pPr>
      <w:r>
        <w:t xml:space="preserve">6. Acceptance and Authorization</w:t>
      </w:r>
    </w:p>
    <w:p>
      <w:pPr>
        <w:pStyle w:val="FirstParagraph"/>
      </w:pPr>
      <w:r>
        <w:t xml:space="preserve">By signing below, the authorized representative of the San Francisco Superior Court acknowledges receipt of this Quotation Estimate for the Judge platform and agrees to the terms, conditions, and pricing outlined herein. This signature constitutes a binding commitment to proceed with procurement in the United States, San Francisco jurisdiction, subject to final budgetary approval by the Board of Supervisors.</w:t>
      </w:r>
    </w:p>
    <w:bookmarkEnd w:id="27"/>
    <w:p>
      <w:pPr>
        <w:pStyle w:val="BodyText"/>
      </w:pPr>
      <w:r>
        <w:rPr>
          <w:bCs/>
          <w:b/>
        </w:rPr>
        <w:t xml:space="preserve">Authorized Representative</w:t>
      </w:r>
      <w:r>
        <w:br/>
      </w:r>
      <w:r>
        <w:t xml:space="preserve">San Francisco Superior Court</w:t>
      </w:r>
      <w:r>
        <w:br/>
      </w:r>
      <w:r>
        <w:t xml:space="preserve">Date: ______________________</w:t>
      </w:r>
    </w:p>
    <w:p>
      <w:pPr>
        <w:pStyle w:val="BodyText"/>
      </w:pPr>
      <w:r>
        <w:rPr>
          <w:bCs/>
          <w:b/>
        </w:rPr>
        <w:t xml:space="preserve">Meridian Legal Systems, Inc.</w:t>
      </w:r>
      <w:r>
        <w:br/>
      </w:r>
      <w:r>
        <w:t xml:space="preserve">Chief Executive Officer</w:t>
      </w:r>
      <w:r>
        <w:br/>
      </w:r>
      <w:r>
        <w:t xml:space="preserve">Date: ______________________</w:t>
      </w:r>
    </w:p>
    <w:p>
      <w:pPr>
        <w:pStyle w:val="BodyText"/>
      </w:pPr>
      <w:r>
        <w:rPr>
          <w:bCs/>
          <w:b/>
        </w:rPr>
        <w:t xml:space="preserve">Document Classification:</w:t>
      </w:r>
      <w:r>
        <w:t xml:space="preserve"> </w:t>
      </w:r>
      <w:r>
        <w:t xml:space="preserve">Commercial — Quotation Estimate  | </w:t>
      </w:r>
      <w:r>
        <w:t xml:space="preserve"> </w:t>
      </w:r>
      <w:r>
        <w:rPr>
          <w:bCs/>
          <w:b/>
        </w:rPr>
        <w:t xml:space="preserve">Reference:</w:t>
      </w:r>
      <w:r>
        <w:t xml:space="preserve"> </w:t>
      </w:r>
      <w:r>
        <w:t xml:space="preserve">QTE-SF-2025-0487  | </w:t>
      </w:r>
      <w:r>
        <w:t xml:space="preserve"> </w:t>
      </w:r>
      <w:r>
        <w:rPr>
          <w:bCs/>
          <w:b/>
        </w:rPr>
        <w:t xml:space="preserve">Jurisdiction:</w:t>
      </w:r>
      <w:r>
        <w:t xml:space="preserve"> </w:t>
      </w:r>
      <w:r>
        <w:t xml:space="preserve">United States, San Francisco, California</w:t>
      </w:r>
    </w:p>
    <w:p>
      <w:pPr>
        <w:pStyle w:val="BodyText"/>
      </w:pPr>
      <w:r>
        <w:t xml:space="preserve">This Quotation Estimate was prepared exclusively for the San Francisco Superior Court and the deployment of the Judge platform. It may not be reproduced, distributed, or used for any other procurement purpose without the prior written consent of Meridian Legal Systems, Inc. All figures are estimates and do not constitute a fixed-price guarantee until a formal purchase order is issued.</w:t>
      </w:r>
    </w:p>
    <w:p>
      <w:pPr>
        <w:pStyle w:val="BodyText"/>
      </w:pPr>
      <w:r>
        <w:t xml:space="preserve">© 2025 Meridian Legal Systems, Inc. — San Francisco, CA, United States.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 United States San Francisco</dc:title>
  <dc:creator/>
  <dc:language>en</dc:language>
  <cp:keywords/>
  <dcterms:created xsi:type="dcterms:W3CDTF">2026-10-10T04:26:51Z</dcterms:created>
  <dcterms:modified xsi:type="dcterms:W3CDTF">2026-10-10T04:26:51Z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