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Equipment</w:t>
      </w:r>
      <w:r>
        <w:t xml:space="preserve"> </w:t>
      </w:r>
      <w:r>
        <w:t xml:space="preserve">-</w:t>
      </w:r>
      <w:r>
        <w:t xml:space="preserve"> </w:t>
      </w:r>
      <w:r>
        <w:t xml:space="preserve">Uzbekistan</w:t>
      </w:r>
      <w:r>
        <w:t xml:space="preserve"> </w:t>
      </w:r>
      <w:r>
        <w:t xml:space="preserve">Tashkent</w:t>
      </w:r>
    </w:p>
    <w:bookmarkStart w:id="26" w:name="quotation-estimate"/>
    <w:p>
      <w:pPr>
        <w:pStyle w:val="Heading1"/>
      </w:pPr>
      <w:r>
        <w:t xml:space="preserve">QUOTATION ESTIMATE</w:t>
      </w:r>
    </w:p>
    <w:p>
      <w:pPr>
        <w:pStyle w:val="FirstParagraph"/>
      </w:pPr>
      <w:r>
        <w:t xml:space="preserve">Official Quotation Estimate for Judge Equipment, Furnishings, and Judicial Services</w:t>
      </w:r>
    </w:p>
    <w:p>
      <w:pPr>
        <w:pStyle w:val="BodyText"/>
      </w:pPr>
      <w:r>
        <w:rPr>
          <w:bCs/>
          <w:b/>
        </w:rPr>
        <w:t xml:space="preserve">Supplier:</w:t>
      </w:r>
      <w:r>
        <w:br/>
      </w:r>
      <w:r>
        <w:t xml:space="preserve">Tashkent Judicial Supplies Co., Ltd.</w:t>
      </w:r>
      <w:r>
        <w:br/>
      </w:r>
      <w:r>
        <w:t xml:space="preserve">14 Amir Temur Avenue, Tashkent 100000</w:t>
      </w:r>
      <w:r>
        <w:br/>
      </w:r>
      <w:r>
        <w:t xml:space="preserve">Republic of Uzbekistan</w:t>
      </w:r>
      <w:r>
        <w:br/>
      </w:r>
      <w:r>
        <w:t xml:space="preserve">Tel: +998 (71) 200-45-67</w:t>
      </w:r>
      <w:r>
        <w:br/>
      </w:r>
      <w:r>
        <w:t xml:space="preserve">Email: sales@tashkentjudicial.uz</w:t>
      </w:r>
      <w:r>
        <w:br/>
      </w:r>
      <w:r>
        <w:t xml:space="preserve">Registration No. UZ-2019-44821</w:t>
      </w:r>
    </w:p>
    <w:p>
      <w:pPr>
        <w:pStyle w:val="BodyText"/>
      </w:pPr>
      <w:r>
        <w:rPr>
          <w:bCs/>
          <w:b/>
        </w:rPr>
        <w:t xml:space="preserve">Quotation No.:</w:t>
      </w:r>
      <w:r>
        <w:t xml:space="preserve"> </w:t>
      </w:r>
      <w:r>
        <w:t xml:space="preserve">QE-TK-2025-0347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r>
        <w:br/>
      </w:r>
      <w:r>
        <w:t xml:space="preserve">CONFIDENTIAL</w:t>
      </w:r>
    </w:p>
    <w:bookmarkStart w:id="20" w:name="prepared-for"/>
    <w:p>
      <w:pPr>
        <w:pStyle w:val="Heading3"/>
      </w:pPr>
      <w:r>
        <w:t xml:space="preserve">Prepared For:</w:t>
      </w:r>
    </w:p>
    <w:p>
      <w:pPr>
        <w:pStyle w:val="FirstParagraph"/>
      </w:pPr>
      <w:r>
        <w:rPr>
          <w:bCs/>
          <w:b/>
        </w:rPr>
        <w:t xml:space="preserve">Client:</w:t>
      </w:r>
      <w:r>
        <w:t xml:space="preserve"> </w:t>
      </w:r>
      <w:r>
        <w:t xml:space="preserve">Supreme Court of the Republic of Uzbekistan – Tashkent City Judicial Division</w:t>
      </w:r>
      <w:r>
        <w:br/>
      </w:r>
      <w:r>
        <w:rPr>
          <w:bCs/>
          <w:b/>
        </w:rPr>
        <w:t xml:space="preserve">Attn:</w:t>
      </w:r>
      <w:r>
        <w:t xml:space="preserve"> </w:t>
      </w:r>
      <w:r>
        <w:t xml:space="preserve">Honorable Judge, Presiding Officer, Tashkent District Court</w:t>
      </w:r>
      <w:r>
        <w:br/>
      </w:r>
      <w:r>
        <w:rPr>
          <w:bCs/>
          <w:b/>
        </w:rPr>
        <w:t xml:space="preserve">Address:</w:t>
      </w:r>
      <w:r>
        <w:t xml:space="preserve"> </w:t>
      </w:r>
      <w:r>
        <w:t xml:space="preserve">22 Navoi Street, Tashkent 100084, Uzbekistan</w:t>
      </w:r>
      <w:r>
        <w:br/>
      </w:r>
      <w:r>
        <w:rPr>
          <w:bCs/>
          <w:b/>
        </w:rPr>
        <w:t xml:space="preserve">Project Reference:</w:t>
      </w:r>
      <w:r>
        <w:t xml:space="preserve"> </w:t>
      </w:r>
      <w:r>
        <w:t xml:space="preserve">Judicial Chamber Modernization – Tashkent, Uzbekistan</w:t>
      </w:r>
      <w:r>
        <w:br/>
      </w:r>
      <w:r>
        <w:rPr>
          <w:bCs/>
          <w:b/>
        </w:rPr>
        <w:t xml:space="preserve">Purpose:</w:t>
      </w:r>
      <w:r>
        <w:t xml:space="preserve"> </w:t>
      </w:r>
      <w:r>
        <w:t xml:space="preserve">Comprehensive Quotation Estimate for the procurement, installation, and commissioning of Judge-specific equipment, furniture, and auxiliary judicial services for the presiding Judge's chamber and courtroom in Tashkent.</w:t>
      </w:r>
    </w:p>
    <w:bookmarkEnd w:id="20"/>
    <w:bookmarkStart w:id="21" w:name="scope-of-quotation-estimate"/>
    <w:p>
      <w:pPr>
        <w:pStyle w:val="Heading2"/>
      </w:pPr>
      <w:r>
        <w:t xml:space="preserve">1. Scope of Quotation Estimate</w:t>
      </w:r>
    </w:p>
    <w:p>
      <w:pPr>
        <w:pStyle w:val="FirstParagraph"/>
      </w:pPr>
      <w:r>
        <w:t xml:space="preserve">This Quotation Estimate is issued in response to the formal request submitted by the Tashkent City Judicial Division for the complete outfitting of a Judge's courtroom and private chamber. All items listed below are specifically designed, sourced, and configured to meet the standards required for a presiding Judge operating within the judicial framework of Uzbekistan. The Quotation Estimate covers the full lifecycle from manufacturing and delivery to Tashkent, through on-site installation, calibration, and a twelve-month warranty period. All pricing is quoted in Uzbek Som (UZS) with a USD reference column for the convenience of the procuring authority in Tashkent.</w:t>
      </w:r>
    </w:p>
    <w:bookmarkEnd w:id="21"/>
    <w:bookmarkStart w:id="22" w:name="Xdcbf68342e60284c8f54e5e832c2cc41b3a1415"/>
    <w:p>
      <w:pPr>
        <w:pStyle w:val="Heading2"/>
      </w:pPr>
      <w:r>
        <w:t xml:space="preserve">2. Itemized Quotation Estimate – Judge Equipment and Furnishings</w:t>
      </w:r>
    </w:p>
    <w:p>
      <w:pPr>
        <w:pStyle w:val="FirstParagraph"/>
      </w:pPr>
      <w:r>
        <w:t xml:space="preserve">No.</w:t>
      </w:r>
    </w:p>
    <w:p>
      <w:pPr>
        <w:pStyle w:val="BodyText"/>
      </w:pPr>
      <w:r>
        <w:t xml:space="preserve">Description of Item / Service</w:t>
      </w:r>
    </w:p>
    <w:p>
      <w:pPr>
        <w:pStyle w:val="BodyText"/>
      </w:pPr>
      <w:r>
        <w:t xml:space="preserve">Qty</w:t>
      </w:r>
    </w:p>
    <w:p>
      <w:pPr>
        <w:pStyle w:val="BodyText"/>
      </w:pPr>
      <w:r>
        <w:t xml:space="preserve">Unit Price (UZS)</w:t>
      </w:r>
    </w:p>
    <w:p>
      <w:pPr>
        <w:pStyle w:val="BodyText"/>
      </w:pPr>
      <w:r>
        <w:t xml:space="preserve">Total (UZS)</w:t>
      </w:r>
    </w:p>
    <w:p>
      <w:pPr>
        <w:pStyle w:val="BodyText"/>
      </w:pPr>
      <w:r>
        <w:t xml:space="preserve">Remarks</w:t>
      </w:r>
    </w:p>
    <w:p>
      <w:pPr>
        <w:pStyle w:val="BodyText"/>
      </w:pPr>
      <w:r>
        <w:t xml:space="preserve">1</w:t>
      </w:r>
    </w:p>
    <w:p>
      <w:pPr>
        <w:pStyle w:val="BodyText"/>
      </w:pPr>
      <w:r>
        <w:t xml:space="preserve">Judge's Elevated Bench – Solid Oak, 220 cm width, with integrated document tray, built-in microphone mount, and LED nameplate reading "Judge" in Latin and Cyrillic script</w:t>
      </w:r>
    </w:p>
    <w:p>
      <w:pPr>
        <w:pStyle w:val="BodyText"/>
      </w:pPr>
      <w:r>
        <w:t xml:space="preserve">1</w:t>
      </w:r>
    </w:p>
    <w:p>
      <w:pPr>
        <w:pStyle w:val="BodyText"/>
      </w:pPr>
      <w:r>
        <w:t xml:space="preserve">48,500,000</w:t>
      </w:r>
    </w:p>
    <w:p>
      <w:pPr>
        <w:pStyle w:val="BodyText"/>
      </w:pPr>
      <w:r>
        <w:t xml:space="preserve">48,500,000</w:t>
      </w:r>
    </w:p>
    <w:p>
      <w:pPr>
        <w:pStyle w:val="BodyText"/>
      </w:pPr>
      <w:r>
        <w:t xml:space="preserve">Custom-built for Tashkent courtroom dimensions</w:t>
      </w:r>
    </w:p>
    <w:p>
      <w:pPr>
        <w:pStyle w:val="BodyText"/>
      </w:pPr>
      <w:r>
        <w:t xml:space="preserve">2</w:t>
      </w:r>
    </w:p>
    <w:p>
      <w:pPr>
        <w:pStyle w:val="BodyText"/>
      </w:pPr>
      <w:r>
        <w:t xml:space="preserve">Judge's Executive Chair – Ergonomic, full-grain leather, height-adjustable, with armrests and lumbar support, black finish</w:t>
      </w:r>
    </w:p>
    <w:p>
      <w:pPr>
        <w:pStyle w:val="BodyText"/>
      </w:pPr>
      <w:r>
        <w:t xml:space="preserve">1</w:t>
      </w:r>
    </w:p>
    <w:p>
      <w:pPr>
        <w:pStyle w:val="BodyText"/>
      </w:pPr>
      <w:r>
        <w:t xml:space="preserve">12,200,000</w:t>
      </w:r>
    </w:p>
    <w:p>
      <w:pPr>
        <w:pStyle w:val="BodyText"/>
      </w:pPr>
      <w:r>
        <w:t xml:space="preserve">12,200,000</w:t>
      </w:r>
    </w:p>
    <w:p>
      <w:pPr>
        <w:pStyle w:val="BodyText"/>
      </w:pPr>
      <w:r>
        <w:t xml:space="preserve">Meets ergonomic standards for 8-hour sessions</w:t>
      </w:r>
    </w:p>
    <w:p>
      <w:pPr>
        <w:pStyle w:val="BodyText"/>
      </w:pPr>
      <w:r>
        <w:t xml:space="preserve">3</w:t>
      </w:r>
    </w:p>
    <w:p>
      <w:pPr>
        <w:pStyle w:val="BodyText"/>
      </w:pPr>
      <w:r>
        <w:t xml:space="preserve">Judge's Gavel and Sound Block – Hand-carved walnut, 18 cm gavel, 25 cm base, engraved with the emblem of the Republic of Uzbekistan</w:t>
      </w:r>
    </w:p>
    <w:p>
      <w:pPr>
        <w:pStyle w:val="BodyText"/>
      </w:pPr>
      <w:r>
        <w:t xml:space="preserve">1</w:t>
      </w:r>
    </w:p>
    <w:p>
      <w:pPr>
        <w:pStyle w:val="BodyText"/>
      </w:pPr>
      <w:r>
        <w:t xml:space="preserve">3,800,000</w:t>
      </w:r>
    </w:p>
    <w:p>
      <w:pPr>
        <w:pStyle w:val="BodyText"/>
      </w:pPr>
      <w:r>
        <w:t xml:space="preserve">3,800,000</w:t>
      </w:r>
    </w:p>
    <w:p>
      <w:pPr>
        <w:pStyle w:val="BodyText"/>
      </w:pPr>
      <w:r>
        <w:t xml:space="preserve">Includes velvet presentation case</w:t>
      </w:r>
    </w:p>
    <w:p>
      <w:pPr>
        <w:pStyle w:val="BodyText"/>
      </w:pPr>
      <w:r>
        <w:t xml:space="preserve">4</w:t>
      </w:r>
    </w:p>
    <w:p>
      <w:pPr>
        <w:pStyle w:val="BodyText"/>
      </w:pPr>
      <w:r>
        <w:t xml:space="preserve">Judge's Robe – Formal black judicial robe with gold-embroidered collar and cuffs, size XL, per Uzbekistan judicial dress code</w:t>
      </w:r>
    </w:p>
    <w:p>
      <w:pPr>
        <w:pStyle w:val="BodyText"/>
      </w:pPr>
      <w:r>
        <w:t xml:space="preserve">2</w:t>
      </w:r>
    </w:p>
    <w:p>
      <w:pPr>
        <w:pStyle w:val="BodyText"/>
      </w:pPr>
      <w:r>
        <w:t xml:space="preserve">4,500,000</w:t>
      </w:r>
    </w:p>
    <w:p>
      <w:pPr>
        <w:pStyle w:val="BodyText"/>
      </w:pPr>
      <w:r>
        <w:t xml:space="preserve">9,000,000</w:t>
      </w:r>
    </w:p>
    <w:p>
      <w:pPr>
        <w:pStyle w:val="BodyText"/>
      </w:pPr>
      <w:r>
        <w:t xml:space="preserve">Two robes: one for court sessions, one for ceremonial use</w:t>
      </w:r>
    </w:p>
    <w:p>
      <w:pPr>
        <w:pStyle w:val="BodyText"/>
      </w:pPr>
      <w:r>
        <w:t xml:space="preserve">5</w:t>
      </w:r>
    </w:p>
    <w:p>
      <w:pPr>
        <w:pStyle w:val="BodyText"/>
      </w:pPr>
      <w:r>
        <w:t xml:space="preserve">Judge's Private Chamber Desk – 180 cm × 90 cm, mahogany veneer, six-drawer filing system, cable management, and integrated monitor arm</w:t>
      </w:r>
    </w:p>
    <w:p>
      <w:pPr>
        <w:pStyle w:val="BodyText"/>
      </w:pPr>
      <w:r>
        <w:t xml:space="preserve">1</w:t>
      </w:r>
    </w:p>
    <w:p>
      <w:pPr>
        <w:pStyle w:val="BodyText"/>
      </w:pPr>
      <w:r>
        <w:t xml:space="preserve">32,000,000</w:t>
      </w:r>
    </w:p>
    <w:p>
      <w:pPr>
        <w:pStyle w:val="BodyText"/>
      </w:pPr>
      <w:r>
        <w:t xml:space="preserve">32,000,000</w:t>
      </w:r>
    </w:p>
    <w:p>
      <w:pPr>
        <w:pStyle w:val="BodyText"/>
      </w:pPr>
      <w:r>
        <w:t xml:space="preserve">Includes matching credenza</w:t>
      </w:r>
    </w:p>
    <w:p>
      <w:pPr>
        <w:pStyle w:val="BodyText"/>
      </w:pPr>
      <w:r>
        <w:t xml:space="preserve">6</w:t>
      </w:r>
    </w:p>
    <w:p>
      <w:pPr>
        <w:pStyle w:val="BodyText"/>
      </w:pPr>
      <w:r>
        <w:t xml:space="preserve">Audio-Visual System for Judge's Bench – Ceiling-mounted speakers (4), directional microphone, digital recording unit (1 TB), and display monitor (32-inch, 4K)</w:t>
      </w:r>
    </w:p>
    <w:p>
      <w:pPr>
        <w:pStyle w:val="BodyText"/>
      </w:pPr>
      <w:r>
        <w:t xml:space="preserve">1 set</w:t>
      </w:r>
    </w:p>
    <w:p>
      <w:pPr>
        <w:pStyle w:val="BodyText"/>
      </w:pPr>
      <w:r>
        <w:t xml:space="preserve">55,000,000</w:t>
      </w:r>
    </w:p>
    <w:p>
      <w:pPr>
        <w:pStyle w:val="BodyText"/>
      </w:pPr>
      <w:r>
        <w:t xml:space="preserve">55,000,000</w:t>
      </w:r>
    </w:p>
    <w:p>
      <w:pPr>
        <w:pStyle w:val="BodyText"/>
      </w:pPr>
      <w:r>
        <w:t xml:space="preserve">Compliant with Uzbekistan court recording regulations</w:t>
      </w:r>
    </w:p>
    <w:p>
      <w:pPr>
        <w:pStyle w:val="BodyText"/>
      </w:pPr>
      <w:r>
        <w:t xml:space="preserve">7</w:t>
      </w:r>
    </w:p>
    <w:p>
      <w:pPr>
        <w:pStyle w:val="BodyText"/>
      </w:pPr>
      <w:r>
        <w:t xml:space="preserve">Document Management Cabinet – Fire-resistant, steel, 120 cm height, dual-lock, for Judge's case files and legal precedents</w:t>
      </w:r>
    </w:p>
    <w:p>
      <w:pPr>
        <w:pStyle w:val="BodyText"/>
      </w:pPr>
      <w:r>
        <w:t xml:space="preserve">2</w:t>
      </w:r>
    </w:p>
    <w:p>
      <w:pPr>
        <w:pStyle w:val="BodyText"/>
      </w:pPr>
      <w:r>
        <w:t xml:space="preserve">8,500,000</w:t>
      </w:r>
    </w:p>
    <w:p>
      <w:pPr>
        <w:pStyle w:val="BodyText"/>
      </w:pPr>
      <w:r>
        <w:t xml:space="preserve">17,000,000</w:t>
      </w:r>
    </w:p>
    <w:p>
      <w:pPr>
        <w:pStyle w:val="BodyText"/>
      </w:pPr>
      <w:r>
        <w:t xml:space="preserve">Class B fire rating, 60-minute resistance</w:t>
      </w:r>
    </w:p>
    <w:p>
      <w:pPr>
        <w:pStyle w:val="BodyText"/>
      </w:pPr>
      <w:r>
        <w:t xml:space="preserve">8</w:t>
      </w:r>
    </w:p>
    <w:p>
      <w:pPr>
        <w:pStyle w:val="BodyText"/>
      </w:pPr>
      <w:r>
        <w:t xml:space="preserve">Courtroom Seating – 12 plaintiff/defendant chairs, 6 witness chairs, 4 gallery benches, all in dark walnut with upholstered seats</w:t>
      </w:r>
    </w:p>
    <w:p>
      <w:pPr>
        <w:pStyle w:val="BodyText"/>
      </w:pPr>
      <w:r>
        <w:t xml:space="preserve">1 lot</w:t>
      </w:r>
    </w:p>
    <w:p>
      <w:pPr>
        <w:pStyle w:val="BodyText"/>
      </w:pPr>
      <w:r>
        <w:t xml:space="preserve">28,000,000</w:t>
      </w:r>
    </w:p>
    <w:p>
      <w:pPr>
        <w:pStyle w:val="BodyText"/>
      </w:pPr>
      <w:r>
        <w:t xml:space="preserve">28,000,000</w:t>
      </w:r>
    </w:p>
    <w:p>
      <w:pPr>
        <w:pStyle w:val="BodyText"/>
      </w:pPr>
      <w:r>
        <w:t xml:space="preserve">Arranged per Tashkent courtroom layout plan</w:t>
      </w:r>
    </w:p>
    <w:p>
      <w:pPr>
        <w:pStyle w:val="BodyText"/>
      </w:pPr>
      <w:r>
        <w:t xml:space="preserve">9</w:t>
      </w:r>
    </w:p>
    <w:p>
      <w:pPr>
        <w:pStyle w:val="BodyText"/>
      </w:pPr>
      <w:r>
        <w:t xml:space="preserve">Installation, Calibration, and Commissioning in Tashkent – On-site team of 4 technicians, 5 working days, including wiring, audio tuning, and Judge walkthrough</w:t>
      </w:r>
    </w:p>
    <w:p>
      <w:pPr>
        <w:pStyle w:val="BodyText"/>
      </w:pPr>
      <w:r>
        <w:t xml:space="preserve">1</w:t>
      </w:r>
    </w:p>
    <w:p>
      <w:pPr>
        <w:pStyle w:val="BodyText"/>
      </w:pPr>
      <w:r>
        <w:t xml:space="preserve">15,000,000</w:t>
      </w:r>
    </w:p>
    <w:p>
      <w:pPr>
        <w:pStyle w:val="BodyText"/>
      </w:pPr>
      <w:r>
        <w:t xml:space="preserve">15,000,000</w:t>
      </w:r>
    </w:p>
    <w:p>
      <w:pPr>
        <w:pStyle w:val="BodyText"/>
      </w:pPr>
      <w:r>
        <w:t xml:space="preserve">Includes training for court staff</w:t>
      </w:r>
    </w:p>
    <w:p>
      <w:pPr>
        <w:pStyle w:val="BodyText"/>
      </w:pPr>
      <w:r>
        <w:t xml:space="preserve">10</w:t>
      </w:r>
    </w:p>
    <w:p>
      <w:pPr>
        <w:pStyle w:val="BodyText"/>
      </w:pPr>
      <w:r>
        <w:t xml:space="preserve">12-Month Warranty and After-Sales Support – Remote diagnostics, on-site repair within 48 hours in Tashkent, spare parts kit</w:t>
      </w:r>
    </w:p>
    <w:p>
      <w:pPr>
        <w:pStyle w:val="BodyText"/>
      </w:pPr>
      <w:r>
        <w:t xml:space="preserve">1</w:t>
      </w:r>
    </w:p>
    <w:p>
      <w:pPr>
        <w:pStyle w:val="BodyText"/>
      </w:pPr>
      <w:r>
        <w:t xml:space="preserve">10,000,000</w:t>
      </w:r>
    </w:p>
    <w:p>
      <w:pPr>
        <w:pStyle w:val="BodyText"/>
      </w:pPr>
      <w:r>
        <w:t xml:space="preserve">10,000,000</w:t>
      </w:r>
    </w:p>
    <w:p>
      <w:pPr>
        <w:pStyle w:val="BodyText"/>
      </w:pPr>
      <w:r>
        <w:t xml:space="preserve">Covers all electronic and mechanical components</w:t>
      </w:r>
    </w:p>
    <w:bookmarkEnd w:id="22"/>
    <w:bookmarkStart w:id="23" w:name="pricing-summary"/>
    <w:p>
      <w:pPr>
        <w:pStyle w:val="Heading2"/>
      </w:pPr>
      <w:r>
        <w:t xml:space="preserve">3. Pricing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Amount (UZS)</w:t>
            </w:r>
          </w:p>
        </w:tc>
        <w:tc>
          <w:tcPr/>
          <w:p>
            <w:pPr>
              <w:pStyle w:val="Compact"/>
              <w:jc w:val="left"/>
            </w:pPr>
            <w:r>
              <w:t xml:space="preserve">Amount (USD, ref.)</w:t>
            </w:r>
          </w:p>
        </w:tc>
      </w:tr>
      <w:tr>
        <w:tc>
          <w:tcPr/>
          <w:p>
            <w:pPr>
              <w:pStyle w:val="Compact"/>
              <w:jc w:val="left"/>
            </w:pPr>
            <w:r>
              <w:t xml:space="preserve">Subtotal – All Items and Services</w:t>
            </w:r>
          </w:p>
        </w:tc>
        <w:tc>
          <w:tcPr/>
          <w:p>
            <w:pPr>
              <w:pStyle w:val="Compact"/>
              <w:jc w:val="left"/>
            </w:pPr>
            <w:r>
              <w:t xml:space="preserve">229,500,000</w:t>
            </w:r>
          </w:p>
        </w:tc>
        <w:tc>
          <w:tcPr/>
          <w:p>
            <w:pPr>
              <w:pStyle w:val="Compact"/>
              <w:jc w:val="left"/>
            </w:pPr>
            <w:r>
              <w:t xml:space="preserve">≈ $18,360</w:t>
            </w:r>
          </w:p>
        </w:tc>
      </w:tr>
      <w:tr>
        <w:tc>
          <w:tcPr/>
          <w:p>
            <w:pPr>
              <w:pStyle w:val="Compact"/>
              <w:jc w:val="left"/>
            </w:pPr>
            <w:r>
              <w:t xml:space="preserve">VAT (12% – Uzbekistan standard rate)</w:t>
            </w:r>
          </w:p>
        </w:tc>
        <w:tc>
          <w:tcPr/>
          <w:p>
            <w:pPr>
              <w:pStyle w:val="Compact"/>
              <w:jc w:val="left"/>
            </w:pPr>
            <w:r>
              <w:t xml:space="preserve">27,540,000</w:t>
            </w:r>
          </w:p>
        </w:tc>
        <w:tc>
          <w:tcPr/>
          <w:p>
            <w:pPr>
              <w:pStyle w:val="Compact"/>
              <w:jc w:val="left"/>
            </w:pPr>
            <w:r>
              <w:t xml:space="preserve">≈ $2,203</w:t>
            </w:r>
          </w:p>
        </w:tc>
      </w:tr>
      <w:tr>
        <w:tc>
          <w:tcPr/>
          <w:p>
            <w:pPr>
              <w:pStyle w:val="Compact"/>
              <w:jc w:val="left"/>
            </w:pPr>
            <w:r>
              <w:t xml:space="preserve">Delivery to Tashkent (within city limits)</w:t>
            </w:r>
          </w:p>
        </w:tc>
        <w:tc>
          <w:tcPr/>
          <w:p>
            <w:pPr>
              <w:pStyle w:val="Compact"/>
              <w:jc w:val="left"/>
            </w:pPr>
            <w:r>
              <w:t xml:space="preserve">5,000,000</w:t>
            </w:r>
          </w:p>
        </w:tc>
        <w:tc>
          <w:tcPr/>
          <w:p>
            <w:pPr>
              <w:pStyle w:val="Compact"/>
              <w:jc w:val="left"/>
            </w:pPr>
            <w:r>
              <w:t xml:space="preserve">≈ $400</w:t>
            </w:r>
          </w:p>
        </w:tc>
      </w:tr>
      <w:tr>
        <w:tc>
          <w:tcPr/>
          <w:p>
            <w:pPr>
              <w:pStyle w:val="Compact"/>
              <w:jc w:val="left"/>
            </w:pPr>
            <w:r>
              <w:t xml:space="preserve">GRAND TOTAL</w:t>
            </w:r>
          </w:p>
        </w:tc>
        <w:tc>
          <w:tcPr/>
          <w:p>
            <w:pPr>
              <w:pStyle w:val="Compact"/>
              <w:jc w:val="left"/>
            </w:pPr>
            <w:r>
              <w:t xml:space="preserve">262,040,000 UZS</w:t>
            </w:r>
          </w:p>
        </w:tc>
        <w:tc>
          <w:tcPr/>
          <w:p>
            <w:pPr>
              <w:pStyle w:val="Compact"/>
              <w:jc w:val="left"/>
            </w:pPr>
            <w:r>
              <w:t xml:space="preserve">≈ $20,963 USD</w:t>
            </w:r>
          </w:p>
        </w:tc>
      </w:tr>
    </w:tbl>
    <w:p>
      <w:pPr>
        <w:pStyle w:val="BodyText"/>
      </w:pPr>
      <w:r>
        <w:t xml:space="preserve">* USD conversion is indicative only, based on the National Bank of Uzbekistan rate as of 15 June 2025. Final settlement shall be in Uzbek Som (UZS).</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 Quotation Estimate is valid for a period of ninety (90) calendar days from the date of issue. After the expiry date, all prices are subject to revision based on material costs and exchange rate fluctuations in Uzbekistan.</w:t>
      </w:r>
      <w:r>
        <w:br/>
      </w:r>
      <w:r>
        <w:rPr>
          <w:bCs/>
          <w:b/>
        </w:rPr>
        <w:t xml:space="preserve">4.2</w:t>
      </w:r>
      <w:r>
        <w:t xml:space="preserve"> </w:t>
      </w:r>
      <w:r>
        <w:t xml:space="preserve">Payment terms: 40% advance payment upon acceptance of this Quotation Estimate; 50% upon delivery of all items to the Tashkent courtroom; 10% upon successful commissioning and sign-off by the presiding Judge.</w:t>
      </w:r>
      <w:r>
        <w:br/>
      </w:r>
      <w:r>
        <w:rPr>
          <w:bCs/>
          <w:b/>
        </w:rPr>
        <w:t xml:space="preserve">4.3</w:t>
      </w:r>
      <w:r>
        <w:t xml:space="preserve"> </w:t>
      </w:r>
      <w:r>
        <w:t xml:space="preserve">Delivery to the designated courtroom in Tashkent, Uzbekistan, shall be completed within thirty (30) calendar days of receipt of the advance payment.</w:t>
      </w:r>
      <w:r>
        <w:br/>
      </w:r>
      <w:r>
        <w:rPr>
          <w:bCs/>
          <w:b/>
        </w:rPr>
        <w:t xml:space="preserve">4.4</w:t>
      </w:r>
      <w:r>
        <w:t xml:space="preserve"> </w:t>
      </w:r>
      <w:r>
        <w:t xml:space="preserve">All Judge-specific items (bench, gavel, robe, chair) shall be inspected and approved by the client's representative in Tashkent prior to final installation.</w:t>
      </w:r>
      <w:r>
        <w:br/>
      </w:r>
      <w:r>
        <w:rPr>
          <w:bCs/>
          <w:b/>
        </w:rPr>
        <w:t xml:space="preserve">4.5</w:t>
      </w:r>
      <w:r>
        <w:t xml:space="preserve"> </w:t>
      </w:r>
      <w:r>
        <w:t xml:space="preserve">The supplier warrants that all electronic components comply with the technical standards of the Ministry of Justice of the Republic of Uzbekistan.</w:t>
      </w:r>
      <w:r>
        <w:br/>
      </w:r>
      <w:r>
        <w:rPr>
          <w:bCs/>
          <w:b/>
        </w:rPr>
        <w:t xml:space="preserve">4.6</w:t>
      </w:r>
      <w:r>
        <w:t xml:space="preserve"> </w:t>
      </w:r>
      <w:r>
        <w:t xml:space="preserve">Any modifications to the scope of this Quotation Estimate must be agreed upon in writing by both parties and shall be documented as a supplementary Quotation Estimate.</w:t>
      </w:r>
      <w:r>
        <w:br/>
      </w:r>
      <w:r>
        <w:rPr>
          <w:bCs/>
          <w:b/>
        </w:rPr>
        <w:t xml:space="preserve">4.7</w:t>
      </w:r>
      <w:r>
        <w:t xml:space="preserve"> </w:t>
      </w:r>
      <w:r>
        <w:t xml:space="preserve">This Quotation Estimate does not constitute a binding contract until a formal Purchase Order is issued by the Tashkent City Judicial Division.</w:t>
      </w:r>
      <w:r>
        <w:br/>
      </w:r>
      <w:r>
        <w:rPr>
          <w:bCs/>
          <w:b/>
        </w:rPr>
        <w:t xml:space="preserve">4.8</w:t>
      </w:r>
      <w:r>
        <w:t xml:space="preserve"> </w:t>
      </w:r>
      <w:r>
        <w:t xml:space="preserve">Governing law: The laws of the Republic of Uzbekistan. Disputes shall be resolved by the competent court in Tashkent.</w:t>
      </w:r>
    </w:p>
    <w:bookmarkEnd w:id="24"/>
    <w:bookmarkStart w:id="25" w:name="acceptance-and-authorization"/>
    <w:p>
      <w:pPr>
        <w:pStyle w:val="Heading2"/>
      </w:pPr>
      <w:r>
        <w:t xml:space="preserve">5. Acceptance and Authorization</w:t>
      </w:r>
    </w:p>
    <w:p>
      <w:pPr>
        <w:pStyle w:val="FirstParagraph"/>
      </w:pPr>
      <w:r>
        <w:rPr>
          <w:bCs/>
          <w:b/>
        </w:rPr>
        <w:t xml:space="preserve">For and on behalf of the Supplier:</w:t>
      </w:r>
    </w:p>
    <w:p>
      <w:pPr>
        <w:pStyle w:val="BodyText"/>
      </w:pPr>
      <w:r>
        <w:t xml:space="preserve">Tashkent Judicial Supplies Co., Ltd.</w:t>
      </w:r>
    </w:p>
    <w:p>
      <w:pPr>
        <w:pStyle w:val="BodyText"/>
      </w:pPr>
      <w:r>
        <w:t xml:space="preserve">Authorized Signatory / Date</w:t>
      </w:r>
    </w:p>
    <w:p>
      <w:pPr>
        <w:pStyle w:val="BodyText"/>
      </w:pPr>
      <w:r>
        <w:rPr>
          <w:bCs/>
          <w:b/>
        </w:rPr>
        <w:t xml:space="preserve">For and on behalf of the Client:</w:t>
      </w:r>
    </w:p>
    <w:p>
      <w:pPr>
        <w:pStyle w:val="BodyText"/>
      </w:pPr>
      <w:r>
        <w:t xml:space="preserve">Supreme Court of Uzbekistan – Tashkent Division</w:t>
      </w:r>
    </w:p>
    <w:p>
      <w:pPr>
        <w:pStyle w:val="BodyText"/>
      </w:pPr>
      <w:r>
        <w:t xml:space="preserve">Honorable Judge / Date</w:t>
      </w:r>
    </w:p>
    <w:p>
      <w:pPr>
        <w:pStyle w:val="BodyText"/>
      </w:pPr>
      <w:r>
        <w:t xml:space="preserve">— End of Quotation Estimate QE-TK-2025-0347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Equipment - Uzbekistan Tashkent</dc:title>
  <dc:creator/>
  <dc:language>en</dc:language>
  <cp:keywords/>
  <dcterms:created xsi:type="dcterms:W3CDTF">2026-10-10T04:21:11Z</dcterms:created>
  <dcterms:modified xsi:type="dcterms:W3CDTF">2026-10-10T04:21:11Z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