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rPr>
          <w:bCs/>
          <w:b/>
        </w:rPr>
        <w:t xml:space="preserve">MediTech Professional Staffing Solutions S.A.S.</w:t>
      </w:r>
    </w:p>
    <w:p>
      <w:pPr>
        <w:pStyle w:val="BodyText"/>
      </w:pPr>
      <w:r>
        <w:t xml:space="preserve">Calle 93 No. 15-40, Of. 602, Zona Rosa, Bogotá D.C., Colombia</w:t>
      </w:r>
    </w:p>
    <w:p>
      <w:pPr>
        <w:pStyle w:val="BodyText"/>
      </w:pPr>
      <w:r>
        <w:t xml:space="preserve">NIT: 901.234.567-8 | Tel: +57 (601) 743 8822 | Email: quotations@meditechcolombia.co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Client</w:t>
            </w:r>
          </w:p>
        </w:tc>
        <w:tc>
          <w:tcPr/>
          <w:p>
            <w:pPr>
              <w:pStyle w:val="Compact"/>
              <w:jc w:val="left"/>
            </w:pPr>
            <w:r>
              <w:t xml:space="preserve">Instituto de Diagnóstico Clínico Andino S.A.S.</w:t>
            </w:r>
          </w:p>
        </w:tc>
      </w:tr>
      <w:tr>
        <w:tc>
          <w:tcPr/>
          <w:p>
            <w:pPr>
              <w:pStyle w:val="Compact"/>
              <w:jc w:val="left"/>
            </w:pPr>
            <w:r>
              <w:t xml:space="preserve">Client Address</w:t>
            </w:r>
          </w:p>
        </w:tc>
        <w:tc>
          <w:tcPr/>
          <w:p>
            <w:pPr>
              <w:pStyle w:val="Compact"/>
              <w:jc w:val="left"/>
            </w:pPr>
            <w:r>
              <w:t xml:space="preserve">Cra. 15 No. 85-30, Bogotá D.C., Colombia</w:t>
            </w:r>
          </w:p>
        </w:tc>
      </w:tr>
      <w:tr>
        <w:tc>
          <w:tcPr/>
          <w:p>
            <w:pPr>
              <w:pStyle w:val="Compact"/>
              <w:jc w:val="left"/>
            </w:pPr>
            <w:r>
              <w:t xml:space="preserve">Client NIT</w:t>
            </w:r>
          </w:p>
        </w:tc>
        <w:tc>
          <w:tcPr/>
          <w:p>
            <w:pPr>
              <w:pStyle w:val="Compact"/>
              <w:jc w:val="left"/>
            </w:pPr>
            <w:r>
              <w:t xml:space="preserve">830.456.789-1</w:t>
            </w:r>
          </w:p>
        </w:tc>
      </w:tr>
      <w:tr>
        <w:tc>
          <w:tcPr/>
          <w:p>
            <w:pPr>
              <w:pStyle w:val="Compact"/>
              <w:jc w:val="left"/>
            </w:pPr>
            <w:r>
              <w:t xml:space="preserve">Position Quoted</w:t>
            </w:r>
          </w:p>
        </w:tc>
        <w:tc>
          <w:tcPr/>
          <w:p>
            <w:pPr>
              <w:pStyle w:val="Compact"/>
              <w:jc w:val="left"/>
            </w:pPr>
            <w:r>
              <w:t xml:space="preserve">Laboratory Technician (Full-Time, 44 hrs/week)</w:t>
            </w:r>
          </w:p>
        </w:tc>
      </w:tr>
      <w:tr>
        <w:tc>
          <w:tcPr/>
          <w:p>
            <w:pPr>
              <w:pStyle w:val="Compact"/>
              <w:jc w:val="left"/>
            </w:pPr>
            <w:r>
              <w:t xml:space="preserve">Work Location</w:t>
            </w:r>
          </w:p>
        </w:tc>
        <w:tc>
          <w:tcPr/>
          <w:p>
            <w:pPr>
              <w:pStyle w:val="Compact"/>
              <w:jc w:val="left"/>
            </w:pPr>
            <w:r>
              <w:t xml:space="preserve">Colombia Bogotá – Central Laboratory Facility, Zona Rosa</w:t>
            </w:r>
          </w:p>
        </w:tc>
      </w:tr>
      <w:tr>
        <w:tc>
          <w:tcPr/>
          <w:p>
            <w:pPr>
              <w:pStyle w:val="Compact"/>
              <w:jc w:val="left"/>
            </w:pPr>
            <w:r>
              <w:t xml:space="preserve">Contract Duration</w:t>
            </w:r>
          </w:p>
        </w:tc>
        <w:tc>
          <w:tcPr/>
          <w:p>
            <w:pPr>
              <w:pStyle w:val="Compact"/>
              <w:jc w:val="left"/>
            </w:pPr>
            <w:r>
              <w:t xml:space="preserve">12 months (renewable)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issued by MediTech Professional Staffing Solutions S.A.S. to formally present the comprehensive cost structure for the recruitment, placement, and ongoing administrative management of a qualified</w:t>
      </w:r>
      <w:r>
        <w:t xml:space="preserve"> </w:t>
      </w:r>
      <w:r>
        <w:rPr>
          <w:bCs/>
          <w:b/>
        </w:rPr>
        <w:t xml:space="preserve">Laboratory Technician</w:t>
      </w:r>
      <w:r>
        <w:t xml:space="preserve"> </w:t>
      </w:r>
      <w:r>
        <w:t xml:space="preserve">for the client's clinical diagnostic facility located in</w:t>
      </w:r>
      <w:r>
        <w:t xml:space="preserve"> </w:t>
      </w:r>
      <w:r>
        <w:rPr>
          <w:bCs/>
          <w:b/>
        </w:rPr>
        <w:t xml:space="preserve">Colombia Bogotá</w:t>
      </w:r>
      <w:r>
        <w:t xml:space="preserve">. This document serves as a binding financial proposal and outlines all professional fees, statutory obligations, and ancillary services associated with the engagement of a Laboratory Technician in the Colombian labor market. The Quotation Estimate reflects current market rates as of June 2025 and is tailored specifically to the regulatory and operational requirements of the Bogotá metropolitan area.</w:t>
      </w:r>
    </w:p>
    <w:bookmarkEnd w:id="21"/>
    <w:bookmarkStart w:id="22" w:name="Xedf512c98e4e5839354c1667b5beb60acff4f51"/>
    <w:p>
      <w:pPr>
        <w:pStyle w:val="Heading2"/>
      </w:pPr>
      <w:r>
        <w:t xml:space="preserve">2. Scope of Services – Laboratory Technician Placement</w:t>
      </w:r>
    </w:p>
    <w:p>
      <w:pPr>
        <w:pStyle w:val="FirstParagraph"/>
      </w:pPr>
      <w:r>
        <w:t xml:space="preserve">MediTech Professional Staffing Solutions S.A.S. shall provide the following services related to the recruitment and management of a</w:t>
      </w:r>
      <w:r>
        <w:t xml:space="preserve"> </w:t>
      </w:r>
      <w:r>
        <w:rPr>
          <w:bCs/>
          <w:b/>
        </w:rPr>
        <w:t xml:space="preserve">Laboratory Technician</w:t>
      </w:r>
      <w:r>
        <w:t xml:space="preserve"> </w:t>
      </w:r>
      <w:r>
        <w:t xml:space="preserve">for the client's operations in</w:t>
      </w:r>
      <w:r>
        <w:t xml:space="preserve"> </w:t>
      </w:r>
      <w:r>
        <w:rPr>
          <w:bCs/>
          <w:b/>
        </w:rPr>
        <w:t xml:space="preserve">Colombia Bogotá</w:t>
      </w:r>
      <w:r>
        <w:t xml:space="preserve">:</w:t>
      </w:r>
    </w:p>
    <w:p>
      <w:pPr>
        <w:numPr>
          <w:ilvl w:val="0"/>
          <w:numId w:val="1001"/>
        </w:numPr>
        <w:pStyle w:val="Compact"/>
      </w:pPr>
      <w:r>
        <w:t xml:space="preserve">End-to-end recruitment, screening, and selection of a certified Laboratory Technician holding a minimum of a Technical Professional degree (Técnico Profesional) in Clinical Laboratory Science, with at least three (3) years of verifiable experience in hematology, clinical chemistry, microbiology, and urinalysis.</w:t>
      </w:r>
    </w:p>
    <w:p>
      <w:pPr>
        <w:numPr>
          <w:ilvl w:val="0"/>
          <w:numId w:val="1001"/>
        </w:numPr>
        <w:pStyle w:val="Compact"/>
      </w:pPr>
      <w:r>
        <w:t xml:space="preserve">Verification of professional credentials, including registration with the Colombian Ministry of Health (Ministerio de Salud y Protección Social) and compliance with Resolution 3100 of 2019 regarding laboratory practice standards in Colombia.</w:t>
      </w:r>
    </w:p>
    <w:p>
      <w:pPr>
        <w:numPr>
          <w:ilvl w:val="0"/>
          <w:numId w:val="1001"/>
        </w:numPr>
        <w:pStyle w:val="Compact"/>
      </w:pPr>
      <w:r>
        <w:t xml:space="preserve">Administrative onboarding in accordance with Colombian labor law (Código Sustantivo del Trabajo, Decreto 2351 de 1965), including contract execution, social security enrollment (Pensión, Salud, ARL), and payroll registration.</w:t>
      </w:r>
    </w:p>
    <w:p>
      <w:pPr>
        <w:numPr>
          <w:ilvl w:val="0"/>
          <w:numId w:val="1001"/>
        </w:numPr>
        <w:pStyle w:val="Compact"/>
      </w:pPr>
      <w:r>
        <w:t xml:space="preserve">Ongoing payroll processing, statutory deductions, and compliance reporting for the Laboratory Technician throughout the contract term in Colombia Bogotá.</w:t>
      </w:r>
    </w:p>
    <w:p>
      <w:pPr>
        <w:numPr>
          <w:ilvl w:val="0"/>
          <w:numId w:val="1001"/>
        </w:numPr>
        <w:pStyle w:val="Compact"/>
      </w:pPr>
      <w:r>
        <w:t xml:space="preserve">Quarterly performance reviews and annual competency assessments specific to Laboratory Technician duties.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Monthly gross salary – Laboratory Technician (Técnico Profesional, Level 3)</w:t>
            </w:r>
          </w:p>
        </w:tc>
        <w:tc>
          <w:tcPr/>
          <w:p>
            <w:pPr>
              <w:pStyle w:val="Compact"/>
              <w:jc w:val="left"/>
            </w:pPr>
            <w:r>
              <w:t xml:space="preserve">Monthly</w:t>
            </w:r>
          </w:p>
        </w:tc>
        <w:tc>
          <w:tcPr/>
          <w:p>
            <w:pPr>
              <w:pStyle w:val="Compact"/>
              <w:jc w:val="left"/>
            </w:pPr>
            <w:r>
              <w:t xml:space="preserve">$3,850,000</w:t>
            </w:r>
          </w:p>
        </w:tc>
      </w:tr>
      <w:tr>
        <w:tc>
          <w:tcPr/>
          <w:p>
            <w:pPr>
              <w:pStyle w:val="Compact"/>
              <w:jc w:val="left"/>
            </w:pPr>
            <w:r>
              <w:t xml:space="preserve">2</w:t>
            </w:r>
          </w:p>
        </w:tc>
        <w:tc>
          <w:tcPr/>
          <w:p>
            <w:pPr>
              <w:pStyle w:val="Compact"/>
              <w:jc w:val="left"/>
            </w:pPr>
            <w:r>
              <w:t xml:space="preserve">Colombian statutory employer contributions (Pensión 4%, Salud 4%, ARL 0.5%, CCB 2%, SENA 2%, ICBF 0.2%)</w:t>
            </w:r>
          </w:p>
        </w:tc>
        <w:tc>
          <w:tcPr/>
          <w:p>
            <w:pPr>
              <w:pStyle w:val="Compact"/>
              <w:jc w:val="left"/>
            </w:pPr>
            <w:r>
              <w:t xml:space="preserve">Monthly</w:t>
            </w:r>
          </w:p>
        </w:tc>
        <w:tc>
          <w:tcPr/>
          <w:p>
            <w:pPr>
              <w:pStyle w:val="Compact"/>
              <w:jc w:val="left"/>
            </w:pPr>
            <w:r>
              <w:t xml:space="preserve">$542,400</w:t>
            </w:r>
          </w:p>
        </w:tc>
      </w:tr>
      <w:tr>
        <w:tc>
          <w:tcPr/>
          <w:p>
            <w:pPr>
              <w:pStyle w:val="Compact"/>
              <w:jc w:val="left"/>
            </w:pPr>
            <w:r>
              <w:t xml:space="preserve">3</w:t>
            </w:r>
          </w:p>
        </w:tc>
        <w:tc>
          <w:tcPr/>
          <w:p>
            <w:pPr>
              <w:pStyle w:val="Compact"/>
              <w:jc w:val="left"/>
            </w:pPr>
            <w:r>
              <w:t xml:space="preserve">Prima de servicios (15-day bonus, paid semi-annually – prorated monthly)</w:t>
            </w:r>
          </w:p>
        </w:tc>
        <w:tc>
          <w:tcPr/>
          <w:p>
            <w:pPr>
              <w:pStyle w:val="Compact"/>
              <w:jc w:val="left"/>
            </w:pPr>
            <w:r>
              <w:t xml:space="preserve">Monthly</w:t>
            </w:r>
          </w:p>
        </w:tc>
        <w:tc>
          <w:tcPr/>
          <w:p>
            <w:pPr>
              <w:pStyle w:val="Compact"/>
              <w:jc w:val="left"/>
            </w:pPr>
            <w:r>
              <w:t xml:space="preserve">$160,417</w:t>
            </w:r>
          </w:p>
        </w:tc>
      </w:tr>
      <w:tr>
        <w:tc>
          <w:tcPr/>
          <w:p>
            <w:pPr>
              <w:pStyle w:val="Compact"/>
              <w:jc w:val="left"/>
            </w:pPr>
            <w:r>
              <w:t xml:space="preserve">4</w:t>
            </w:r>
          </w:p>
        </w:tc>
        <w:tc>
          <w:tcPr/>
          <w:p>
            <w:pPr>
              <w:pStyle w:val="Compact"/>
              <w:jc w:val="left"/>
            </w:pPr>
            <w:r>
              <w:t xml:space="preserve">Cesantías (severance fund, 8.33% – prorated monthly)</w:t>
            </w:r>
          </w:p>
        </w:tc>
        <w:tc>
          <w:tcPr/>
          <w:p>
            <w:pPr>
              <w:pStyle w:val="Compact"/>
              <w:jc w:val="left"/>
            </w:pPr>
            <w:r>
              <w:t xml:space="preserve">Monthly</w:t>
            </w:r>
          </w:p>
        </w:tc>
        <w:tc>
          <w:tcPr/>
          <w:p>
            <w:pPr>
              <w:pStyle w:val="Compact"/>
              <w:jc w:val="left"/>
            </w:pPr>
            <w:r>
              <w:t xml:space="preserve">$320,833</w:t>
            </w:r>
          </w:p>
        </w:tc>
      </w:tr>
      <w:tr>
        <w:tc>
          <w:tcPr/>
          <w:p>
            <w:pPr>
              <w:pStyle w:val="Compact"/>
              <w:jc w:val="left"/>
            </w:pPr>
            <w:r>
              <w:t xml:space="preserve">5</w:t>
            </w:r>
          </w:p>
        </w:tc>
        <w:tc>
          <w:tcPr/>
          <w:p>
            <w:pPr>
              <w:pStyle w:val="Compact"/>
              <w:jc w:val="left"/>
            </w:pPr>
            <w:r>
              <w:t xml:space="preserve">Intereses a cesantías (2% annual – prorated monthly)</w:t>
            </w:r>
          </w:p>
        </w:tc>
        <w:tc>
          <w:tcPr/>
          <w:p>
            <w:pPr>
              <w:pStyle w:val="Compact"/>
              <w:jc w:val="left"/>
            </w:pPr>
            <w:r>
              <w:t xml:space="preserve">Monthly</w:t>
            </w:r>
          </w:p>
        </w:tc>
        <w:tc>
          <w:tcPr/>
          <w:p>
            <w:pPr>
              <w:pStyle w:val="Compact"/>
              <w:jc w:val="left"/>
            </w:pPr>
            <w:r>
              <w:t xml:space="preserve">$6,417</w:t>
            </w:r>
          </w:p>
        </w:tc>
      </w:tr>
      <w:tr>
        <w:tc>
          <w:tcPr/>
          <w:p>
            <w:pPr>
              <w:pStyle w:val="Compact"/>
              <w:jc w:val="left"/>
            </w:pPr>
            <w:r>
              <w:t xml:space="preserve">6</w:t>
            </w:r>
          </w:p>
        </w:tc>
        <w:tc>
          <w:tcPr/>
          <w:p>
            <w:pPr>
              <w:pStyle w:val="Compact"/>
              <w:jc w:val="left"/>
            </w:pPr>
            <w:r>
              <w:t xml:space="preserve">Recruitment and placement fee (one-time, 15% of first-year gross salary)</w:t>
            </w:r>
          </w:p>
        </w:tc>
        <w:tc>
          <w:tcPr/>
          <w:p>
            <w:pPr>
              <w:pStyle w:val="Compact"/>
              <w:jc w:val="left"/>
            </w:pPr>
            <w:r>
              <w:t xml:space="preserve">One-time</w:t>
            </w:r>
          </w:p>
        </w:tc>
        <w:tc>
          <w:tcPr/>
          <w:p>
            <w:pPr>
              <w:pStyle w:val="Compact"/>
              <w:jc w:val="left"/>
            </w:pPr>
            <w:r>
              <w:t xml:space="preserve">$6,930,000</w:t>
            </w:r>
          </w:p>
        </w:tc>
      </w:tr>
      <w:tr>
        <w:tc>
          <w:tcPr/>
          <w:p>
            <w:pPr>
              <w:pStyle w:val="Compact"/>
              <w:jc w:val="left"/>
            </w:pPr>
            <w:r>
              <w:t xml:space="preserve">7</w:t>
            </w:r>
          </w:p>
        </w:tc>
        <w:tc>
          <w:tcPr/>
          <w:p>
            <w:pPr>
              <w:pStyle w:val="Compact"/>
              <w:jc w:val="left"/>
            </w:pPr>
            <w:r>
              <w:t xml:space="preserve">Administrative management and compliance fee (2.5% of monthly gross)</w:t>
            </w:r>
          </w:p>
        </w:tc>
        <w:tc>
          <w:tcPr/>
          <w:p>
            <w:pPr>
              <w:pStyle w:val="Compact"/>
              <w:jc w:val="left"/>
            </w:pPr>
            <w:r>
              <w:t xml:space="preserve">Monthly</w:t>
            </w:r>
          </w:p>
        </w:tc>
        <w:tc>
          <w:tcPr/>
          <w:p>
            <w:pPr>
              <w:pStyle w:val="Compact"/>
              <w:jc w:val="left"/>
            </w:pPr>
            <w:r>
              <w:t xml:space="preserve">$96,250</w:t>
            </w:r>
          </w:p>
        </w:tc>
      </w:tr>
      <w:tr>
        <w:tc>
          <w:tcPr/>
          <w:p>
            <w:pPr>
              <w:pStyle w:val="Compact"/>
              <w:jc w:val="left"/>
            </w:pPr>
            <w:r>
              <w:t xml:space="preserve">8</w:t>
            </w:r>
          </w:p>
        </w:tc>
        <w:tc>
          <w:tcPr/>
          <w:p>
            <w:pPr>
              <w:pStyle w:val="Compact"/>
              <w:jc w:val="left"/>
            </w:pPr>
            <w:r>
              <w:t xml:space="preserve">Personal protective equipment (PPE) and lab consumables allowance</w:t>
            </w:r>
          </w:p>
        </w:tc>
        <w:tc>
          <w:tcPr/>
          <w:p>
            <w:pPr>
              <w:pStyle w:val="Compact"/>
              <w:jc w:val="left"/>
            </w:pPr>
            <w:r>
              <w:t xml:space="preserve">Monthly</w:t>
            </w:r>
          </w:p>
        </w:tc>
        <w:tc>
          <w:tcPr/>
          <w:p>
            <w:pPr>
              <w:pStyle w:val="Compact"/>
              <w:jc w:val="left"/>
            </w:pPr>
            <w:r>
              <w:t xml:space="preserve">$180,000</w:t>
            </w:r>
          </w:p>
        </w:tc>
      </w:tr>
      <w:tr>
        <w:tc>
          <w:tcPr/>
          <w:p>
            <w:pPr>
              <w:pStyle w:val="Compact"/>
              <w:jc w:val="left"/>
            </w:pPr>
            <w:r>
              <w:t xml:space="preserve">9</w:t>
            </w:r>
          </w:p>
        </w:tc>
        <w:tc>
          <w:tcPr/>
          <w:p>
            <w:pPr>
              <w:pStyle w:val="Compact"/>
              <w:jc w:val="left"/>
            </w:pPr>
            <w:r>
              <w:t xml:space="preserve">Annual professional development and continuing education (Resolution 3100 compliance)</w:t>
            </w:r>
          </w:p>
        </w:tc>
        <w:tc>
          <w:tcPr/>
          <w:p>
            <w:pPr>
              <w:pStyle w:val="Compact"/>
              <w:jc w:val="left"/>
            </w:pPr>
            <w:r>
              <w:t xml:space="preserve">Annual</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Background check, credential verification, and initial medical examination (Colombia Bogotá providers)</w:t>
            </w:r>
          </w:p>
        </w:tc>
        <w:tc>
          <w:tcPr/>
          <w:p>
            <w:pPr>
              <w:pStyle w:val="Compact"/>
              <w:jc w:val="left"/>
            </w:pPr>
            <w:r>
              <w:t xml:space="preserve">One-time</w:t>
            </w:r>
          </w:p>
        </w:tc>
        <w:tc>
          <w:tcPr/>
          <w:p>
            <w:pPr>
              <w:pStyle w:val="Compact"/>
              <w:jc w:val="left"/>
            </w:pPr>
            <w:r>
              <w:t xml:space="preserve">$450,000</w:t>
            </w:r>
          </w:p>
        </w:tc>
      </w:tr>
      <w:tr>
        <w:tc>
          <w:tcPr>
            <w:gridSpan w:val="3"/>
          </w:tcPr>
          <w:p>
            <w:pPr>
              <w:pStyle w:val="Compact"/>
              <w:jc w:val="left"/>
            </w:pPr>
            <w:r>
              <w:t xml:space="preserve">TOTAL ESTIMATED ANNUAL COST (12 months + one-time fees)</w:t>
            </w:r>
          </w:p>
        </w:tc>
        <w:tc>
          <w:tcPr/>
          <w:p>
            <w:pPr>
              <w:pStyle w:val="Compact"/>
              <w:jc w:val="left"/>
            </w:pPr>
            <w:r>
              <w:t xml:space="preserve">$62,316,254</w:t>
            </w:r>
          </w:p>
        </w:tc>
      </w:tr>
      <w:tr>
        <w:tc>
          <w:tcPr>
            <w:gridSpan w:val="3"/>
          </w:tcPr>
          <w:p>
            <w:pPr>
              <w:pStyle w:val="Compact"/>
              <w:jc w:val="left"/>
            </w:pPr>
            <w:r>
              <w:t xml:space="preserve">TOTAL ESTIMATED MONTHLY COST (recurring)</w:t>
            </w:r>
          </w:p>
        </w:tc>
        <w:tc>
          <w:tcPr/>
          <w:p>
            <w:pPr>
              <w:pStyle w:val="Compact"/>
              <w:jc w:val="left"/>
            </w:pPr>
            <w:r>
              <w:t xml:space="preserve">$5,116,317</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rPr>
          <w:bCs/>
          <w:b/>
        </w:rPr>
        <w:t xml:space="preserve">Quotation Estimate</w:t>
      </w:r>
      <w:r>
        <w:t xml:space="preserve"> </w:t>
      </w:r>
      <w:r>
        <w:t xml:space="preserve">is valid for thirty (30) calendar days from the date of issue. After the expiration date, all amounts listed herein are subject to revision based on current Colombian minimum wage adjustments and market conditions in</w:t>
      </w:r>
      <w:r>
        <w:t xml:space="preserve"> </w:t>
      </w:r>
      <w:r>
        <w:rPr>
          <w:bCs/>
          <w:b/>
        </w:rPr>
        <w:t xml:space="preserve">Colombia Bogotá</w:t>
      </w:r>
      <w:r>
        <w:t xml:space="preserve">.</w:t>
      </w:r>
    </w:p>
    <w:p>
      <w:pPr>
        <w:numPr>
          <w:ilvl w:val="0"/>
          <w:numId w:val="1002"/>
        </w:numPr>
        <w:pStyle w:val="Compact"/>
      </w:pPr>
      <w:r>
        <w:t xml:space="preserve">All monetary values are expressed in Colombian Pesos (COP) and are inclusive of applicable Value Added Tax (IVA 19%) where legally required by Colombian tax law (Estatuto Tributario).</w:t>
      </w:r>
    </w:p>
    <w:p>
      <w:pPr>
        <w:numPr>
          <w:ilvl w:val="0"/>
          <w:numId w:val="1002"/>
        </w:numPr>
        <w:pStyle w:val="Compact"/>
      </w:pPr>
      <w:r>
        <w:t xml:space="preserve">The</w:t>
      </w:r>
      <w:r>
        <w:t xml:space="preserve"> </w:t>
      </w:r>
      <w:r>
        <w:rPr>
          <w:bCs/>
          <w:b/>
        </w:rPr>
        <w:t xml:space="preserve">Laboratory Technician</w:t>
      </w:r>
      <w:r>
        <w:t xml:space="preserve"> </w:t>
      </w:r>
      <w:r>
        <w:t xml:space="preserve">shall be subject to the client's internal policies, safety protocols, and the regulatory framework established by the Colombian Ministry of Health for clinical laboratory operations in Bogotá D.C.</w:t>
      </w:r>
    </w:p>
    <w:p>
      <w:pPr>
        <w:numPr>
          <w:ilvl w:val="0"/>
          <w:numId w:val="1002"/>
        </w:numPr>
        <w:pStyle w:val="Compact"/>
      </w:pPr>
      <w:r>
        <w:t xml:space="preserve">Payment terms: 50% of the one-time recruitment fee is due upon acceptance of this Quotation Estimate; the remaining 50% is due upon successful onboarding of the Laboratory Technician. Monthly recurring costs are payable by the 5th business day of each month via bank transfer to the account specified by MediTech.</w:t>
      </w:r>
    </w:p>
    <w:p>
      <w:pPr>
        <w:numPr>
          <w:ilvl w:val="0"/>
          <w:numId w:val="1002"/>
        </w:numPr>
        <w:pStyle w:val="Compact"/>
      </w:pPr>
      <w:r>
        <w:t xml:space="preserve">MediTech Professional Staffing Solutions S.A.S. guarantees a replacement period of sixty (60) days. If the Laboratory Technician resigns or is terminated for cause within the first 60 days, a replacement candidate will be provided at no additional recruitment fee.</w:t>
      </w:r>
    </w:p>
    <w:p>
      <w:pPr>
        <w:numPr>
          <w:ilvl w:val="0"/>
          <w:numId w:val="1002"/>
        </w:numPr>
        <w:pStyle w:val="Compact"/>
      </w:pPr>
      <w:r>
        <w:t xml:space="preserve">This Quotation Estimate does not constitute a permanent employment contract. The employment relationship between the Laboratory Technician and the client is governed by a separate written agreement compliant with Colombian labor legislation.</w:t>
      </w:r>
    </w:p>
    <w:p>
      <w:pPr>
        <w:numPr>
          <w:ilvl w:val="0"/>
          <w:numId w:val="1002"/>
        </w:numPr>
        <w:pStyle w:val="Compact"/>
      </w:pPr>
      <w:r>
        <w:t xml:space="preserve">Any modifications to the scope of services, contract duration, or work location within</w:t>
      </w:r>
      <w:r>
        <w:t xml:space="preserve"> </w:t>
      </w:r>
      <w:r>
        <w:rPr>
          <w:bCs/>
          <w:b/>
        </w:rPr>
        <w:t xml:space="preserve">Colombia Bogotá</w:t>
      </w:r>
      <w:r>
        <w:t xml:space="preserve"> </w:t>
      </w:r>
      <w:r>
        <w:t xml:space="preserve">must be documented in a written addendum signed by both parties.</w:t>
      </w:r>
    </w:p>
    <w:p>
      <w:pPr>
        <w:numPr>
          <w:ilvl w:val="0"/>
          <w:numId w:val="1002"/>
        </w:numPr>
        <w:pStyle w:val="Compact"/>
      </w:pPr>
      <w:r>
        <w:t xml:space="preserve">Disputes arising from this Quotation Estimate shall be resolved through the labor courts of Bogotá D.C., Colombia, in accordance with applicable national law.</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conditions, and financial obligations outlined for the placement and management of a</w:t>
      </w:r>
      <w:r>
        <w:t xml:space="preserve"> </w:t>
      </w:r>
      <w:r>
        <w:rPr>
          <w:bCs/>
          <w:b/>
        </w:rPr>
        <w:t xml:space="preserve">Laboratory Technician</w:t>
      </w:r>
      <w:r>
        <w:t xml:space="preserve"> </w:t>
      </w:r>
      <w:r>
        <w:t xml:space="preserve">in</w:t>
      </w:r>
      <w:r>
        <w:t xml:space="preserve"> </w:t>
      </w:r>
      <w:r>
        <w:rPr>
          <w:bCs/>
          <w:b/>
        </w:rPr>
        <w:t xml:space="preserve">Colombia Bogotá</w:t>
      </w:r>
      <w:r>
        <w:t xml:space="preserve">.</w:t>
      </w:r>
    </w:p>
    <w:p>
      <w:pPr>
        <w:pStyle w:val="BodyText"/>
      </w:pPr>
      <w:r>
        <w:rPr>
          <w:bCs/>
          <w:b/>
        </w:rPr>
        <w:t xml:space="preserve">For MediTech Professional Staffing Solutions S.A.S.</w:t>
      </w:r>
    </w:p>
    <w:p>
      <w:pPr>
        <w:pStyle w:val="BodyText"/>
      </w:pPr>
      <w:r>
        <w:t xml:space="preserve">_______________________________</w:t>
      </w:r>
    </w:p>
    <w:p>
      <w:pPr>
        <w:pStyle w:val="BodyText"/>
      </w:pPr>
      <w:r>
        <w:t xml:space="preserve">Dr. Carolina Restrepo M.</w:t>
      </w:r>
    </w:p>
    <w:p>
      <w:pPr>
        <w:pStyle w:val="BodyText"/>
      </w:pPr>
      <w:r>
        <w:t xml:space="preserve">Director of Professional Placement</w:t>
      </w:r>
    </w:p>
    <w:p>
      <w:pPr>
        <w:pStyle w:val="BodyText"/>
      </w:pPr>
      <w:r>
        <w:t xml:space="preserve">Date: _______________</w:t>
      </w:r>
    </w:p>
    <w:p>
      <w:pPr>
        <w:pStyle w:val="BodyText"/>
      </w:pPr>
      <w:r>
        <w:rPr>
          <w:bCs/>
          <w:b/>
        </w:rPr>
        <w:t xml:space="preserve">For Instituto de Diagnóstico Clínico Andino S.A.S.</w:t>
      </w:r>
    </w:p>
    <w:p>
      <w:pPr>
        <w:pStyle w:val="BodyText"/>
      </w:pPr>
      <w:r>
        <w:t xml:space="preserve">_______________________________</w:t>
      </w:r>
    </w:p>
    <w:p>
      <w:pPr>
        <w:pStyle w:val="BodyText"/>
      </w:pPr>
      <w:r>
        <w:t xml:space="preserve">_______________________________</w:t>
      </w:r>
    </w:p>
    <w:p>
      <w:pPr>
        <w:pStyle w:val="BodyText"/>
      </w:pPr>
      <w:r>
        <w:t xml:space="preserve">Authorized Representative</w:t>
      </w:r>
    </w:p>
    <w:p>
      <w:pPr>
        <w:pStyle w:val="BodyText"/>
      </w:pPr>
      <w:r>
        <w:t xml:space="preserve">Date: _______________</w:t>
      </w:r>
    </w:p>
    <w:p>
      <w:pPr>
        <w:pStyle w:val="BodyText"/>
      </w:pPr>
      <w:r>
        <w:t xml:space="preserve">MediTech Professional Staffing Solutions S.A.S. | Quotation Estimate QTE-2025-04871 | Laboratory Technician – Colombia Bogotá</w:t>
      </w:r>
    </w:p>
    <w:p>
      <w:pPr>
        <w:pStyle w:val="BodyText"/>
      </w:pPr>
      <w:r>
        <w:t xml:space="preserve">This document is confidential and intended solely for the named recipient. Unauthorized reproduction or distribution is prohibited under Colombian intellectual property law.</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Colombia Bogotá</dc:title>
  <dc:creator/>
  <dc:language>en</dc:language>
  <cp:keywords/>
  <dcterms:created xsi:type="dcterms:W3CDTF">2026-10-10T06:23:18Z</dcterms:created>
  <dcterms:modified xsi:type="dcterms:W3CDTF">2026-10-10T06:23:18Z</dcterms:modified>
</cp:coreProperties>
</file>

<file path=docProps/custom.xml><?xml version="1.0" encoding="utf-8"?>
<Properties xmlns="http://schemas.openxmlformats.org/officeDocument/2006/custom-properties" xmlns:vt="http://schemas.openxmlformats.org/officeDocument/2006/docPropsVTypes"/>
</file>