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Specialized in Laboratory Technician Placement – Colombia Medellín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QTE-MDE-2025-04782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Colombia Medellín, Antioquia Department</w:t>
            </w:r>
          </w:p>
        </w:tc>
      </w:tr>
      <w:tr>
        <w:tc>
          <w:tcPr/>
          <w:p>
            <w:pPr>
              <w:pStyle w:val="Compact"/>
              <w:jc w:val="left"/>
            </w:pPr>
            <w:r>
              <w:t xml:space="preserve">Prepared For:</w:t>
            </w:r>
          </w:p>
        </w:tc>
        <w:tc>
          <w:tcPr/>
          <w:p>
            <w:pPr>
              <w:pStyle w:val="Compact"/>
              <w:jc w:val="left"/>
            </w:pPr>
            <w:r>
              <w:t xml:space="preserve">Client Organization (Name, Address, NIT to be confirmed)</w:t>
            </w:r>
          </w:p>
        </w:tc>
      </w:tr>
      <w:tr>
        <w:tc>
          <w:tcPr/>
          <w:p>
            <w:pPr>
              <w:pStyle w:val="Compact"/>
              <w:jc w:val="left"/>
            </w:pPr>
            <w:r>
              <w:t xml:space="preserve">Prepared By:</w:t>
            </w:r>
          </w:p>
        </w:tc>
        <w:tc>
          <w:tcPr/>
          <w:p>
            <w:pPr>
              <w:pStyle w:val="Compact"/>
              <w:jc w:val="left"/>
            </w:pPr>
            <w:r>
              <w:t xml:space="preserve">Medellín Technical Staffing Office – Colombia Medellín</w:t>
            </w:r>
          </w:p>
        </w:tc>
      </w:tr>
      <w:tr>
        <w:tc>
          <w:tcPr/>
          <w:p>
            <w:pPr>
              <w:pStyle w:val="Compact"/>
              <w:jc w:val="left"/>
            </w:pPr>
            <w:r>
              <w:t xml:space="preserve">Currency:</w:t>
            </w:r>
          </w:p>
        </w:tc>
        <w:tc>
          <w:tcPr/>
          <w:p>
            <w:pPr>
              <w:pStyle w:val="Compact"/>
              <w:jc w:val="left"/>
            </w:pPr>
            <w:r>
              <w:t xml:space="preserve">COP (Colombian Peso) /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breakdown for the recruitment, onboarding, and ongoing professional management of a qualified</w:t>
      </w:r>
      <w:r>
        <w:t xml:space="preserve"> </w:t>
      </w:r>
      <w:r>
        <w:t xml:space="preserve">Laboratory Technician</w:t>
      </w:r>
      <w:r>
        <w:t xml:space="preserve"> </w:t>
      </w:r>
      <w:r>
        <w:t xml:space="preserve">to be deployed at the client's facility located in</w:t>
      </w:r>
      <w:r>
        <w:t xml:space="preserve"> </w:t>
      </w:r>
      <w:r>
        <w:t xml:space="preserve">Colombia Medellín</w:t>
      </w:r>
      <w:r>
        <w:t xml:space="preserve">. The scope encompasses all labor costs, statutory social security contributions, professional development, equipment allocation, and administrative overhead associated with maintaining a fully compliant and productive Laboratory Technician position within the regulatory framework of the city of Medellín and the Republic of Colombia.</w:t>
      </w:r>
    </w:p>
    <w:p>
      <w:pPr>
        <w:pStyle w:val="BodyText"/>
      </w:pPr>
      <w:r>
        <w:t xml:space="preserve">The Laboratory Technician described in this Quotation Estimate is expected to perform a full range of duties including but not limited to: preparation and analysis of biological, chemical, and clinical samples; operation and calibration of laboratory instrumentation; maintenance of quality control protocols; documentation of experimental results in compliance with ISO 17025 standards; and adherence to all biosafety and environmental regulations enforced by the Secretaría de Salud de Medellín and the national Ministry of Health of Colombia.</w:t>
      </w:r>
    </w:p>
    <w:bookmarkEnd w:id="21"/>
    <w:bookmarkStart w:id="22" w:name="position-profile-laboratory-technician"/>
    <w:p>
      <w:pPr>
        <w:pStyle w:val="Heading2"/>
      </w:pPr>
      <w:r>
        <w:t xml:space="preserve">2. Position Profile – Laboratory Technician</w:t>
      </w:r>
    </w:p>
    <w:p>
      <w:pPr>
        <w:pStyle w:val="FirstParagraph"/>
      </w:pPr>
      <w:r>
        <w:t xml:space="preserve">The Laboratory Technician candidate profile for this Quotation Estimate requires a minimum of a Technical Diploma (Técnico Profesional) in Laboratory Sciences, Biotechnology, or a related field, issued by an institution accredited by the Ministry of Education of Colombia. The candidate must possess a minimum of three (3) years of documented professional experience in clinical, pharmaceutical, or industrial laboratory environments. Fluency in Spanish is mandatory, and working proficiency in English is strongly preferred given the international nature of the client's operations in Colombia Medellín. The Laboratory Technician must hold a valid professional registration and be in good standing with the local professional chamber in Medellín.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Frequency</w:t>
            </w:r>
          </w:p>
        </w:tc>
        <w:tc>
          <w:tcPr/>
          <w:p>
            <w:pPr>
              <w:pStyle w:val="Compact"/>
              <w:jc w:val="left"/>
            </w:pPr>
            <w:r>
              <w:t xml:space="preserve">Amount (COP)</w:t>
            </w:r>
          </w:p>
        </w:tc>
        <w:tc>
          <w:tcPr/>
          <w:p>
            <w:pPr>
              <w:pStyle w:val="Compact"/>
              <w:jc w:val="left"/>
            </w:pPr>
            <w:r>
              <w:t xml:space="preserve">Amount (USD Approx.)</w:t>
            </w:r>
          </w:p>
        </w:tc>
      </w:tr>
      <w:tr>
        <w:tc>
          <w:tcPr/>
          <w:p>
            <w:pPr>
              <w:pStyle w:val="Compact"/>
              <w:jc w:val="left"/>
            </w:pPr>
            <w:r>
              <w:t xml:space="preserve">Base Monthly Salary – Laboratory Technician</w:t>
            </w:r>
          </w:p>
        </w:tc>
        <w:tc>
          <w:tcPr/>
          <w:p>
            <w:pPr>
              <w:pStyle w:val="Compact"/>
              <w:jc w:val="left"/>
            </w:pPr>
            <w:r>
              <w:t xml:space="preserve">Monthly</w:t>
            </w:r>
          </w:p>
        </w:tc>
        <w:tc>
          <w:tcPr/>
          <w:p>
            <w:pPr>
              <w:pStyle w:val="Compact"/>
              <w:jc w:val="left"/>
            </w:pPr>
            <w:r>
              <w:t xml:space="preserve">4,200,000</w:t>
            </w:r>
          </w:p>
        </w:tc>
        <w:tc>
          <w:tcPr/>
          <w:p>
            <w:pPr>
              <w:pStyle w:val="Compact"/>
              <w:jc w:val="left"/>
            </w:pPr>
            <w:r>
              <w:t xml:space="preserve">$1,050</w:t>
            </w:r>
          </w:p>
        </w:tc>
      </w:tr>
      <w:tr>
        <w:tc>
          <w:tcPr/>
          <w:p>
            <w:pPr>
              <w:pStyle w:val="Compact"/>
              <w:jc w:val="left"/>
            </w:pPr>
            <w:r>
              <w:t xml:space="preserve">Legal Overtime Provision (up to 12 hrs/month)</w:t>
            </w:r>
          </w:p>
        </w:tc>
        <w:tc>
          <w:tcPr/>
          <w:p>
            <w:pPr>
              <w:pStyle w:val="Compact"/>
              <w:jc w:val="left"/>
            </w:pPr>
            <w:r>
              <w:t xml:space="preserve">Monthly</w:t>
            </w:r>
          </w:p>
        </w:tc>
        <w:tc>
          <w:tcPr/>
          <w:p>
            <w:pPr>
              <w:pStyle w:val="Compact"/>
              <w:jc w:val="left"/>
            </w:pPr>
            <w:r>
              <w:t xml:space="preserve">380,000</w:t>
            </w:r>
          </w:p>
        </w:tc>
        <w:tc>
          <w:tcPr/>
          <w:p>
            <w:pPr>
              <w:pStyle w:val="Compact"/>
              <w:jc w:val="left"/>
            </w:pPr>
            <w:r>
              <w:t xml:space="preserve">$95</w:t>
            </w:r>
          </w:p>
        </w:tc>
      </w:tr>
      <w:tr>
        <w:tc>
          <w:tcPr/>
          <w:p>
            <w:pPr>
              <w:pStyle w:val="Compact"/>
              <w:jc w:val="left"/>
            </w:pPr>
            <w:r>
              <w:t xml:space="preserve">Transportation Allowance (Colombia Medellín metro area)</w:t>
            </w:r>
          </w:p>
        </w:tc>
        <w:tc>
          <w:tcPr/>
          <w:p>
            <w:pPr>
              <w:pStyle w:val="Compact"/>
              <w:jc w:val="left"/>
            </w:pPr>
            <w:r>
              <w:t xml:space="preserve">Monthly</w:t>
            </w:r>
          </w:p>
        </w:tc>
        <w:tc>
          <w:tcPr/>
          <w:p>
            <w:pPr>
              <w:pStyle w:val="Compact"/>
              <w:jc w:val="left"/>
            </w:pPr>
            <w:r>
              <w:t xml:space="preserve">162,000</w:t>
            </w:r>
          </w:p>
        </w:tc>
        <w:tc>
          <w:tcPr/>
          <w:p>
            <w:pPr>
              <w:pStyle w:val="Compact"/>
              <w:jc w:val="left"/>
            </w:pPr>
            <w:r>
              <w:t xml:space="preserve">$40</w:t>
            </w:r>
          </w:p>
        </w:tc>
      </w:tr>
      <w:tr>
        <w:tc>
          <w:tcPr/>
          <w:p>
            <w:pPr>
              <w:pStyle w:val="Compact"/>
              <w:jc w:val="left"/>
            </w:pPr>
            <w:r>
              <w:t xml:space="preserve">Meal Allowance (Alimentación)</w:t>
            </w:r>
          </w:p>
        </w:tc>
        <w:tc>
          <w:tcPr/>
          <w:p>
            <w:pPr>
              <w:pStyle w:val="Compact"/>
              <w:jc w:val="left"/>
            </w:pPr>
            <w:r>
              <w:t xml:space="preserve">Monthly</w:t>
            </w:r>
          </w:p>
        </w:tc>
        <w:tc>
          <w:tcPr/>
          <w:p>
            <w:pPr>
              <w:pStyle w:val="Compact"/>
              <w:jc w:val="left"/>
            </w:pPr>
            <w:r>
              <w:t xml:space="preserve">462,000</w:t>
            </w:r>
          </w:p>
        </w:tc>
        <w:tc>
          <w:tcPr/>
          <w:p>
            <w:pPr>
              <w:pStyle w:val="Compact"/>
              <w:jc w:val="left"/>
            </w:pPr>
            <w:r>
              <w:t xml:space="preserve">$115</w:t>
            </w:r>
          </w:p>
        </w:tc>
      </w:tr>
      <w:tr>
        <w:tc>
          <w:tcPr/>
          <w:p>
            <w:pPr>
              <w:pStyle w:val="Compact"/>
              <w:jc w:val="left"/>
            </w:pPr>
            <w:r>
              <w:t xml:space="preserve">Health Insurance (EPS – Régimen Contributivo)</w:t>
            </w:r>
          </w:p>
        </w:tc>
        <w:tc>
          <w:tcPr/>
          <w:p>
            <w:pPr>
              <w:pStyle w:val="Compact"/>
              <w:jc w:val="left"/>
            </w:pPr>
            <w:r>
              <w:t xml:space="preserve">Monthly</w:t>
            </w:r>
          </w:p>
        </w:tc>
        <w:tc>
          <w:tcPr/>
          <w:p>
            <w:pPr>
              <w:pStyle w:val="Compact"/>
              <w:jc w:val="left"/>
            </w:pPr>
            <w:r>
              <w:t xml:space="preserve">394,800</w:t>
            </w:r>
          </w:p>
        </w:tc>
        <w:tc>
          <w:tcPr/>
          <w:p>
            <w:pPr>
              <w:pStyle w:val="Compact"/>
              <w:jc w:val="left"/>
            </w:pPr>
            <w:r>
              <w:t xml:space="preserve">$98</w:t>
            </w:r>
          </w:p>
        </w:tc>
      </w:tr>
      <w:tr>
        <w:tc>
          <w:tcPr/>
          <w:p>
            <w:pPr>
              <w:pStyle w:val="Compact"/>
              <w:jc w:val="left"/>
            </w:pPr>
            <w:r>
              <w:t xml:space="preserve">Pension Fund (Pensión – 16% employer contribution)</w:t>
            </w:r>
          </w:p>
        </w:tc>
        <w:tc>
          <w:tcPr/>
          <w:p>
            <w:pPr>
              <w:pStyle w:val="Compact"/>
              <w:jc w:val="left"/>
            </w:pPr>
            <w:r>
              <w:t xml:space="preserve">Monthly</w:t>
            </w:r>
          </w:p>
        </w:tc>
        <w:tc>
          <w:tcPr/>
          <w:p>
            <w:pPr>
              <w:pStyle w:val="Compact"/>
              <w:jc w:val="left"/>
            </w:pPr>
            <w:r>
              <w:t xml:space="preserve">672,000</w:t>
            </w:r>
          </w:p>
        </w:tc>
        <w:tc>
          <w:tcPr/>
          <w:p>
            <w:pPr>
              <w:pStyle w:val="Compact"/>
              <w:jc w:val="left"/>
            </w:pPr>
            <w:r>
              <w:t xml:space="preserve">$168</w:t>
            </w:r>
          </w:p>
        </w:tc>
      </w:tr>
      <w:tr>
        <w:tc>
          <w:tcPr/>
          <w:p>
            <w:pPr>
              <w:pStyle w:val="Compact"/>
              <w:jc w:val="left"/>
            </w:pPr>
            <w:r>
              <w:t xml:space="preserve">Professional Risk Insurance (ARL)</w:t>
            </w:r>
          </w:p>
        </w:tc>
        <w:tc>
          <w:tcPr/>
          <w:p>
            <w:pPr>
              <w:pStyle w:val="Compact"/>
              <w:jc w:val="left"/>
            </w:pPr>
            <w:r>
              <w:t xml:space="preserve">Monthly</w:t>
            </w:r>
          </w:p>
        </w:tc>
        <w:tc>
          <w:tcPr/>
          <w:p>
            <w:pPr>
              <w:pStyle w:val="Compact"/>
              <w:jc w:val="left"/>
            </w:pPr>
            <w:r>
              <w:t xml:space="preserve">126,000</w:t>
            </w:r>
          </w:p>
        </w:tc>
        <w:tc>
          <w:tcPr/>
          <w:p>
            <w:pPr>
              <w:pStyle w:val="Compact"/>
              <w:jc w:val="left"/>
            </w:pPr>
            <w:r>
              <w:t xml:space="preserve">$31</w:t>
            </w:r>
          </w:p>
        </w:tc>
      </w:tr>
      <w:tr>
        <w:tc>
          <w:tcPr/>
          <w:p>
            <w:pPr>
              <w:pStyle w:val="Compact"/>
              <w:jc w:val="left"/>
            </w:pPr>
            <w:r>
              <w:t xml:space="preserve">Family Allowances (Subsidios de Familia)</w:t>
            </w:r>
          </w:p>
        </w:tc>
        <w:tc>
          <w:tcPr/>
          <w:p>
            <w:pPr>
              <w:pStyle w:val="Compact"/>
              <w:jc w:val="left"/>
            </w:pPr>
            <w:r>
              <w:t xml:space="preserve">Monthly</w:t>
            </w:r>
          </w:p>
        </w:tc>
        <w:tc>
          <w:tcPr/>
          <w:p>
            <w:pPr>
              <w:pStyle w:val="Compact"/>
              <w:jc w:val="left"/>
            </w:pPr>
            <w:r>
              <w:t xml:space="preserve">94,500</w:t>
            </w:r>
          </w:p>
        </w:tc>
        <w:tc>
          <w:tcPr/>
          <w:p>
            <w:pPr>
              <w:pStyle w:val="Compact"/>
              <w:jc w:val="left"/>
            </w:pPr>
            <w:r>
              <w:t xml:space="preserve">$24</w:t>
            </w:r>
          </w:p>
        </w:tc>
      </w:tr>
      <w:tr>
        <w:tc>
          <w:tcPr/>
          <w:p>
            <w:pPr>
              <w:pStyle w:val="Compact"/>
              <w:jc w:val="left"/>
            </w:pPr>
            <w:r>
              <w:t xml:space="preserve">Annual Leave Provision (15 working days)</w:t>
            </w:r>
          </w:p>
        </w:tc>
        <w:tc>
          <w:tcPr/>
          <w:p>
            <w:pPr>
              <w:pStyle w:val="Compact"/>
              <w:jc w:val="left"/>
            </w:pPr>
            <w:r>
              <w:t xml:space="preserve">Monthly accrual</w:t>
            </w:r>
          </w:p>
        </w:tc>
        <w:tc>
          <w:tcPr/>
          <w:p>
            <w:pPr>
              <w:pStyle w:val="Compact"/>
              <w:jc w:val="left"/>
            </w:pPr>
            <w:r>
              <w:t xml:space="preserve">210,000</w:t>
            </w:r>
          </w:p>
        </w:tc>
        <w:tc>
          <w:tcPr/>
          <w:p>
            <w:pPr>
              <w:pStyle w:val="Compact"/>
              <w:jc w:val="left"/>
            </w:pPr>
            <w:r>
              <w:t xml:space="preserve">$52</w:t>
            </w:r>
          </w:p>
        </w:tc>
      </w:tr>
      <w:tr>
        <w:tc>
          <w:tcPr/>
          <w:p>
            <w:pPr>
              <w:pStyle w:val="Compact"/>
              <w:jc w:val="left"/>
            </w:pPr>
            <w:r>
              <w:t xml:space="preserve">Severance Fund (Cesantías – 8.33% annual)</w:t>
            </w:r>
          </w:p>
        </w:tc>
        <w:tc>
          <w:tcPr/>
          <w:p>
            <w:pPr>
              <w:pStyle w:val="Compact"/>
              <w:jc w:val="left"/>
            </w:pPr>
            <w:r>
              <w:t xml:space="preserve">Monthly accrual</w:t>
            </w:r>
          </w:p>
        </w:tc>
        <w:tc>
          <w:tcPr/>
          <w:p>
            <w:pPr>
              <w:pStyle w:val="Compact"/>
              <w:jc w:val="left"/>
            </w:pPr>
            <w:r>
              <w:t xml:space="preserve">280,000</w:t>
            </w:r>
          </w:p>
        </w:tc>
        <w:tc>
          <w:tcPr/>
          <w:p>
            <w:pPr>
              <w:pStyle w:val="Compact"/>
              <w:jc w:val="left"/>
            </w:pPr>
            <w:r>
              <w:t xml:space="preserve">$70</w:t>
            </w:r>
          </w:p>
        </w:tc>
      </w:tr>
      <w:tr>
        <w:tc>
          <w:tcPr/>
          <w:p>
            <w:pPr>
              <w:pStyle w:val="Compact"/>
              <w:jc w:val="left"/>
            </w:pPr>
            <w:r>
              <w:t xml:space="preserve">Professional Development &amp; Certification Renewal</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$450</w:t>
            </w:r>
          </w:p>
        </w:tc>
      </w:tr>
      <w:tr>
        <w:tc>
          <w:tcPr/>
          <w:p>
            <w:pPr>
              <w:pStyle w:val="Compact"/>
              <w:jc w:val="left"/>
            </w:pPr>
            <w:r>
              <w:t xml:space="preserve">Personal Protective Equipment (PPE) &amp; Lab Supplies</w:t>
            </w:r>
          </w:p>
        </w:tc>
        <w:tc>
          <w:tcPr/>
          <w:p>
            <w:pPr>
              <w:pStyle w:val="Compact"/>
              <w:jc w:val="left"/>
            </w:pPr>
            <w:r>
              <w:t xml:space="preserve">Quarterly</w:t>
            </w:r>
          </w:p>
        </w:tc>
        <w:tc>
          <w:tcPr/>
          <w:p>
            <w:pPr>
              <w:pStyle w:val="Compact"/>
              <w:jc w:val="left"/>
            </w:pPr>
            <w:r>
              <w:t xml:space="preserve">900,000</w:t>
            </w:r>
          </w:p>
        </w:tc>
        <w:tc>
          <w:tcPr/>
          <w:p>
            <w:pPr>
              <w:pStyle w:val="Compact"/>
              <w:jc w:val="left"/>
            </w:pPr>
            <w:r>
              <w:t xml:space="preserve">$225</w:t>
            </w:r>
          </w:p>
        </w:tc>
      </w:tr>
      <w:tr>
        <w:tc>
          <w:tcPr/>
          <w:p>
            <w:pPr>
              <w:pStyle w:val="Compact"/>
              <w:jc w:val="left"/>
            </w:pPr>
            <w:r>
              <w:t xml:space="preserve">Administrative &amp; HR Management Fee (Colombia Medellín office)</w:t>
            </w:r>
          </w:p>
        </w:tc>
        <w:tc>
          <w:tcPr/>
          <w:p>
            <w:pPr>
              <w:pStyle w:val="Compact"/>
              <w:jc w:val="left"/>
            </w:pPr>
            <w:r>
              <w:t xml:space="preserve">Monthly</w:t>
            </w:r>
          </w:p>
        </w:tc>
        <w:tc>
          <w:tcPr/>
          <w:p>
            <w:pPr>
              <w:pStyle w:val="Compact"/>
              <w:jc w:val="left"/>
            </w:pPr>
            <w:r>
              <w:t xml:space="preserve">500,000</w:t>
            </w:r>
          </w:p>
        </w:tc>
        <w:tc>
          <w:tcPr/>
          <w:p>
            <w:pPr>
              <w:pStyle w:val="Compact"/>
              <w:jc w:val="left"/>
            </w:pPr>
            <w:r>
              <w:t xml:space="preserve">$125</w:t>
            </w:r>
          </w:p>
        </w:tc>
      </w:tr>
      <w:tr>
        <w:tc>
          <w:tcPr/>
          <w:p>
            <w:pPr>
              <w:pStyle w:val="Compact"/>
              <w:jc w:val="left"/>
            </w:pPr>
            <w:r>
              <w:t xml:space="preserve">Recruitment &amp; Onboarding Fee (one-time)</w:t>
            </w:r>
          </w:p>
        </w:tc>
        <w:tc>
          <w:tcPr/>
          <w:p>
            <w:pPr>
              <w:pStyle w:val="Compact"/>
              <w:jc w:val="left"/>
            </w:pPr>
            <w:r>
              <w:t xml:space="preserve">One-time</w:t>
            </w:r>
          </w:p>
        </w:tc>
        <w:tc>
          <w:tcPr/>
          <w:p>
            <w:pPr>
              <w:pStyle w:val="Compact"/>
              <w:jc w:val="left"/>
            </w:pPr>
            <w:r>
              <w:t xml:space="preserve">2,500,000</w:t>
            </w:r>
          </w:p>
        </w:tc>
        <w:tc>
          <w:tcPr/>
          <w:p>
            <w:pPr>
              <w:pStyle w:val="Compact"/>
              <w:jc w:val="left"/>
            </w:pPr>
            <w:r>
              <w:t xml:space="preserve">$625</w:t>
            </w:r>
          </w:p>
        </w:tc>
      </w:tr>
      <w:tr>
        <w:tc>
          <w:tcPr>
            <w:gridSpan w:val="2"/>
          </w:tcPr>
          <w:p>
            <w:pPr>
              <w:pStyle w:val="Compact"/>
              <w:jc w:val="left"/>
            </w:pPr>
            <w:r>
              <w:t xml:space="preserve">TOTAL ESTIMATED MONTHLY COST</w:t>
            </w:r>
          </w:p>
        </w:tc>
        <w:tc>
          <w:tcPr/>
          <w:p>
            <w:pPr>
              <w:pStyle w:val="Compact"/>
              <w:jc w:val="left"/>
            </w:pPr>
            <w:r>
              <w:t xml:space="preserve">7,481,300</w:t>
            </w:r>
          </w:p>
        </w:tc>
        <w:tc>
          <w:tcPr/>
          <w:p>
            <w:pPr>
              <w:pStyle w:val="Compact"/>
              <w:jc w:val="left"/>
            </w:pPr>
            <w:r>
              <w:t xml:space="preserve">$1,870</w:t>
            </w:r>
          </w:p>
        </w:tc>
      </w:tr>
      <w:tr>
        <w:tc>
          <w:tcPr>
            <w:gridSpan w:val="2"/>
          </w:tcPr>
          <w:p>
            <w:pPr>
              <w:pStyle w:val="Compact"/>
              <w:jc w:val="left"/>
            </w:pPr>
            <w:r>
              <w:t xml:space="preserve">TOTAL ESTIMATED ANNUAL COST (12 months + one-time fees)</w:t>
            </w:r>
          </w:p>
        </w:tc>
        <w:tc>
          <w:tcPr/>
          <w:p>
            <w:pPr>
              <w:pStyle w:val="Compact"/>
              <w:jc w:val="left"/>
            </w:pPr>
            <w:r>
              <w:t xml:space="preserve">91,275,600</w:t>
            </w:r>
          </w:p>
        </w:tc>
        <w:tc>
          <w:tcPr/>
          <w:p>
            <w:pPr>
              <w:pStyle w:val="Compact"/>
              <w:jc w:val="left"/>
            </w:pPr>
            <w:r>
              <w:t xml:space="preserve">$22,819</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this period, all figures are subject to revision based on the current minimum wage decree issued by the Colombian government and prevailing exchange rates.</w:t>
      </w:r>
    </w:p>
    <w:p>
      <w:pPr>
        <w:numPr>
          <w:ilvl w:val="0"/>
          <w:numId w:val="1001"/>
        </w:numPr>
        <w:pStyle w:val="Compact"/>
      </w:pPr>
      <w:r>
        <w:t xml:space="preserve">All monetary values are expressed in Colombian Pesos (COP) with approximate United States Dollar (USD) equivalents provided for reference only. The contractual currency shall be COP.</w:t>
      </w:r>
    </w:p>
    <w:p>
      <w:pPr>
        <w:numPr>
          <w:ilvl w:val="0"/>
          <w:numId w:val="1001"/>
        </w:numPr>
        <w:pStyle w:val="Compact"/>
      </w:pPr>
      <w:r>
        <w:t xml:space="preserve">The Laboratory Technician shall be hired under a fixed-term contract (Contrato a Término Fijo) of twelve (12) months, renewable by mutual written agreement, in full compliance with the Colombian Labor Code (Código Sustantivo del Trabajo, Decreto 2351 de 1965) and applicable amendments.</w:t>
      </w:r>
    </w:p>
    <w:p>
      <w:pPr>
        <w:numPr>
          <w:ilvl w:val="0"/>
          <w:numId w:val="1001"/>
        </w:numPr>
        <w:pStyle w:val="Compact"/>
      </w:pPr>
      <w:r>
        <w:t xml:space="preserve">The client organization assumes responsibility for providing a safe working environment in Colombia Medellín that meets all occupational health and safety standards established by the Ministry of Labor of Colombia.</w:t>
      </w:r>
    </w:p>
    <w:p>
      <w:pPr>
        <w:numPr>
          <w:ilvl w:val="0"/>
          <w:numId w:val="1001"/>
        </w:numPr>
        <w:pStyle w:val="Compact"/>
      </w:pPr>
      <w:r>
        <w:t xml:space="preserve">Payment terms: Net 15 days from the date of invoice issuance. Late payments shall accrue interest at the rate established by the Superintendencia Financiera de Colombia.</w:t>
      </w:r>
    </w:p>
    <w:p>
      <w:pPr>
        <w:numPr>
          <w:ilvl w:val="0"/>
          <w:numId w:val="1001"/>
        </w:numPr>
        <w:pStyle w:val="Compact"/>
      </w:pPr>
      <w:r>
        <w:t xml:space="preserve">This Quotation Estimate does not constitute a binding employment contract. A formal service agreement and employment contract will be executed upon the client's written acceptance of this estimate.</w:t>
      </w:r>
    </w:p>
    <w:p>
      <w:pPr>
        <w:numPr>
          <w:ilvl w:val="0"/>
          <w:numId w:val="1001"/>
        </w:numPr>
        <w:pStyle w:val="Compact"/>
      </w:pPr>
      <w:r>
        <w:t xml:space="preserve">Any modifications to the scope of the Laboratory Technician's responsibilities, working hours, or location within Colombia Medellín must be documented in a written addendum signed by both parties.</w:t>
      </w:r>
    </w:p>
    <w:p>
      <w:pPr>
        <w:numPr>
          <w:ilvl w:val="0"/>
          <w:numId w:val="1001"/>
        </w:numPr>
        <w:pStyle w:val="Compact"/>
      </w:pPr>
      <w:r>
        <w:t xml:space="preserve">The staffing provider shall maintain all statutory registrations, tax withholdings (retención en la fuente), and social security filings in accordance with Colombian law for the duration of the engagement.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that the financial figures, position description for the Laboratory Technician, and operational terms are understood and accepted for implementation in Colombia Medellín.</w:t>
      </w:r>
    </w:p>
    <w:p>
      <w:pPr>
        <w:pStyle w:val="BodyText"/>
      </w:pPr>
      <w:r>
        <w:rPr>
          <w:bCs/>
          <w:b/>
        </w:rPr>
        <w:t xml:space="preserve">Authorized Representative – Client</w:t>
      </w:r>
      <w:r>
        <w:br/>
      </w:r>
      <w:r>
        <w:t xml:space="preserve">Name / Title / NIT / Date</w:t>
      </w:r>
    </w:p>
    <w:p>
      <w:pPr>
        <w:pStyle w:val="BodyText"/>
      </w:pPr>
      <w:r>
        <w:rPr>
          <w:bCs/>
          <w:b/>
        </w:rPr>
        <w:t xml:space="preserve">Medellín Technical Staffing Office</w:t>
      </w:r>
      <w:r>
        <w:br/>
      </w:r>
      <w:r>
        <w:t xml:space="preserve">Colombia Medellín – Antioquia</w:t>
      </w:r>
      <w:r>
        <w:br/>
      </w:r>
      <w:r>
        <w:t xml:space="preserve">Name / Title / C.C. / Date</w:t>
      </w:r>
    </w:p>
    <w:p>
      <w:pPr>
        <w:pStyle w:val="BodyText"/>
      </w:pPr>
      <w:r>
        <w:t xml:space="preserve">Quotation Estimate QTE-MDE-2025-04782 | Laboratory Technician Placement | Colombia Medellín | Page 1 of 1</w:t>
      </w:r>
    </w:p>
    <w:p>
      <w:pPr>
        <w:pStyle w:val="BodyText"/>
      </w:pPr>
      <w:r>
        <w:t xml:space="preserve">This document is the property of the issuing office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Colombia Medellín</dc:title>
  <dc:creator/>
  <dc:language>en</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