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rPr>
          <w:bCs/>
          <w:b/>
        </w:rPr>
        <w:t xml:space="preserve">MedLab Professional Staffing Solutions Ltd.</w:t>
      </w:r>
    </w:p>
    <w:p>
      <w:pPr>
        <w:pStyle w:val="BodyText"/>
      </w:pPr>
      <w:r>
        <w:t xml:space="preserve">12 King George Street, Jerusalem 91000, Israel</w:t>
      </w:r>
    </w:p>
    <w:p>
      <w:pPr>
        <w:pStyle w:val="BodyText"/>
      </w:pPr>
      <w:r>
        <w:t xml:space="preserve">Tel: +972-2-623-4567 | Email: quotations@medlab-staffing.co.il</w:t>
      </w:r>
    </w:p>
    <w:p>
      <w:pPr>
        <w:pStyle w:val="BodyText"/>
      </w:pPr>
      <w:r>
        <w:t xml:space="preserve">VAT No. 51-234-567-8 | License No. IL-2024-00891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QTE-2025-JER-00472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Position</w:t>
            </w:r>
          </w:p>
        </w:tc>
        <w:tc>
          <w:tcPr/>
          <w:p>
            <w:pPr>
              <w:pStyle w:val="Compact"/>
              <w:jc w:val="left"/>
            </w:pPr>
            <w:r>
              <w:t xml:space="preserve">Laboratory Technician (Full-Time)</w:t>
            </w:r>
          </w:p>
        </w:tc>
        <w:tc>
          <w:tcPr/>
          <w:p>
            <w:pPr>
              <w:pStyle w:val="Compact"/>
              <w:jc w:val="left"/>
            </w:pPr>
            <w:r>
              <w:t xml:space="preserve">Location</w:t>
            </w:r>
          </w:p>
        </w:tc>
        <w:tc>
          <w:tcPr/>
          <w:p>
            <w:pPr>
              <w:pStyle w:val="Compact"/>
              <w:jc w:val="left"/>
            </w:pPr>
            <w:r>
              <w:t xml:space="preserve">Israel Jerusalem – Central District</w:t>
            </w:r>
          </w:p>
        </w:tc>
      </w:tr>
      <w:tr>
        <w:tc>
          <w:tcPr/>
          <w:p>
            <w:pPr>
              <w:pStyle w:val="Compact"/>
              <w:jc w:val="left"/>
            </w:pPr>
            <w:r>
              <w:t xml:space="preserve">Client / Requesting Party</w:t>
            </w:r>
          </w:p>
        </w:tc>
        <w:tc>
          <w:tcPr/>
          <w:p>
            <w:pPr>
              <w:pStyle w:val="Compact"/>
              <w:jc w:val="left"/>
            </w:pPr>
            <w:r>
              <w:t xml:space="preserve">Jerusalem Medical Research Institute, 45 Bnei Brak Ave., Jerusalem</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Dr. Sarah Cohen, Head of Staffing Division</w:t>
            </w:r>
          </w:p>
        </w:tc>
        <w:tc>
          <w:tcPr/>
          <w:p>
            <w:pPr>
              <w:pStyle w:val="Compact"/>
              <w:jc w:val="left"/>
            </w:pPr>
            <w:r>
              <w:t xml:space="preserve">Currency</w:t>
            </w:r>
          </w:p>
        </w:tc>
        <w:tc>
          <w:tcPr/>
          <w:p>
            <w:pPr>
              <w:pStyle w:val="Compact"/>
              <w:jc w:val="left"/>
            </w:pPr>
            <w:r>
              <w:t xml:space="preserve">Israeli New Shekel (ILS / ₪)</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MedLab Professional Staffing Solutions Ltd. in response to the formal request submitted by the Jerusalem Medical Research Institute for the recruitment, placement, and ongoing professional support of a qualified</w:t>
      </w:r>
      <w:r>
        <w:t xml:space="preserve"> </w:t>
      </w:r>
      <w:r>
        <w:t xml:space="preserve">Laboratory Technician</w:t>
      </w:r>
      <w:r>
        <w:t xml:space="preserve"> </w:t>
      </w:r>
      <w:r>
        <w:t xml:space="preserve">to be stationed at their primary facility in</w:t>
      </w:r>
      <w:r>
        <w:t xml:space="preserve"> </w:t>
      </w:r>
      <w:r>
        <w:t xml:space="preserve">Israel Jerusalem</w:t>
      </w:r>
      <w:r>
        <w:t xml:space="preserve">. This document provides a comprehensive financial breakdown, detailed scope of services, and all applicable terms governing the engagement. The</w:t>
      </w:r>
      <w:r>
        <w:t xml:space="preserve"> </w:t>
      </w:r>
      <w:r>
        <w:t xml:space="preserve">Quotation Estimate</w:t>
      </w:r>
      <w:r>
        <w:t xml:space="preserve"> </w:t>
      </w:r>
      <w:r>
        <w:t xml:space="preserve">covers a twelve-month initial contract period with the option for renewal, and all figures are presented in Israeli New Shekels (ILS) inclusive of applicable Value Added Tax (VAT) at the current rate of 18%.</w:t>
      </w:r>
    </w:p>
    <w:bookmarkEnd w:id="21"/>
    <w:bookmarkStart w:id="22" w:name="X6e67c6ba3f040eabf26bbbbe6409170411bdeb9"/>
    <w:p>
      <w:pPr>
        <w:pStyle w:val="Heading2"/>
      </w:pPr>
      <w:r>
        <w:t xml:space="preserve">2. Position Description – Laboratory Technician</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will be responsible for performing a wide range of diagnostic and analytical procedures within the clinical and research laboratories located in</w:t>
      </w:r>
      <w:r>
        <w:t xml:space="preserve"> </w:t>
      </w:r>
      <w:r>
        <w:t xml:space="preserve">Israel Jerusalem</w:t>
      </w:r>
      <w:r>
        <w:t xml:space="preserve">. The role demands a minimum of a Bachelor's degree in Laboratory Sciences, Clinical Chemistry, or a closely related field, along with a valid Israeli professional license issued by the Ministry of Health. The</w:t>
      </w:r>
      <w:r>
        <w:t xml:space="preserve"> </w:t>
      </w:r>
      <w:r>
        <w:t xml:space="preserve">Laboratory Technician</w:t>
      </w:r>
      <w:r>
        <w:t xml:space="preserve"> </w:t>
      </w:r>
      <w:r>
        <w:t xml:space="preserve">will operate in compliance with all national regulations governing laboratory practice in Israel and will adhere to the institutional protocols of the requesting facility in Jerusalem.</w:t>
      </w:r>
    </w:p>
    <w:bookmarkEnd w:id="22"/>
    <w:bookmarkStart w:id="23" w:name="detailed-scope-of-services"/>
    <w:p>
      <w:pPr>
        <w:pStyle w:val="Heading2"/>
      </w:pPr>
      <w:r>
        <w:t xml:space="preserve">3. Detailed Scope of Services</w:t>
      </w:r>
    </w:p>
    <w:p>
      <w:pPr>
        <w:numPr>
          <w:ilvl w:val="0"/>
          <w:numId w:val="1001"/>
        </w:numPr>
        <w:pStyle w:val="Compact"/>
      </w:pPr>
      <w:r>
        <w:rPr>
          <w:bCs/>
          <w:b/>
        </w:rPr>
        <w:t xml:space="preserve">Recruitment and Screening:</w:t>
      </w:r>
      <w:r>
        <w:t xml:space="preserve"> </w:t>
      </w:r>
      <w:r>
        <w:t xml:space="preserve">End-to-end sourcing, interviewing, credential verification, and background checking of the</w:t>
      </w:r>
      <w:r>
        <w:t xml:space="preserve"> </w:t>
      </w:r>
      <w:r>
        <w:t xml:space="preserve">Laboratory Technician</w:t>
      </w:r>
      <w:r>
        <w:t xml:space="preserve"> </w:t>
      </w:r>
      <w:r>
        <w:t xml:space="preserve">candidate pool specific to the</w:t>
      </w:r>
      <w:r>
        <w:t xml:space="preserve"> </w:t>
      </w:r>
      <w:r>
        <w:t xml:space="preserve">Israel Jerusalem</w:t>
      </w:r>
      <w:r>
        <w:t xml:space="preserve"> </w:t>
      </w:r>
      <w:r>
        <w:t xml:space="preserve">metropolitan area and surrounding regions.</w:t>
      </w:r>
    </w:p>
    <w:p>
      <w:pPr>
        <w:numPr>
          <w:ilvl w:val="0"/>
          <w:numId w:val="1001"/>
        </w:numPr>
        <w:pStyle w:val="Compact"/>
      </w:pPr>
      <w:r>
        <w:rPr>
          <w:bCs/>
          <w:b/>
        </w:rPr>
        <w:t xml:space="preserve">Placement and Onboarding:</w:t>
      </w:r>
      <w:r>
        <w:t xml:space="preserve"> </w:t>
      </w:r>
      <w:r>
        <w:t xml:space="preserve">Facilitation of the employment contract, work permit coordination (if applicable), and structured onboarding program for the</w:t>
      </w:r>
      <w:r>
        <w:t xml:space="preserve"> </w:t>
      </w:r>
      <w:r>
        <w:t xml:space="preserve">Laboratory Technician</w:t>
      </w:r>
      <w:r>
        <w:t xml:space="preserve"> </w:t>
      </w:r>
      <w:r>
        <w:t xml:space="preserve">at the Jerusalem facility.</w:t>
      </w:r>
    </w:p>
    <w:p>
      <w:pPr>
        <w:numPr>
          <w:ilvl w:val="0"/>
          <w:numId w:val="1001"/>
        </w:numPr>
        <w:pStyle w:val="Compact"/>
      </w:pPr>
      <w:r>
        <w:rPr>
          <w:bCs/>
          <w:b/>
        </w:rPr>
        <w:t xml:space="preserve">Professional Licensing Support:</w:t>
      </w:r>
      <w:r>
        <w:t xml:space="preserve"> </w:t>
      </w:r>
      <w:r>
        <w:t xml:space="preserve">Assistance with obtaining or renewing the Israeli laboratory technician license, including translation of foreign credentials and scheduling of Ministry of Health examinations in Jerusalem.</w:t>
      </w:r>
    </w:p>
    <w:p>
      <w:pPr>
        <w:numPr>
          <w:ilvl w:val="0"/>
          <w:numId w:val="1001"/>
        </w:numPr>
        <w:pStyle w:val="Compact"/>
      </w:pPr>
      <w:r>
        <w:rPr>
          <w:bCs/>
          <w:b/>
        </w:rPr>
        <w:t xml:space="preserve">Ongoing Supervision and Quality Assurance:</w:t>
      </w:r>
      <w:r>
        <w:t xml:space="preserve"> </w:t>
      </w:r>
      <w:r>
        <w:t xml:space="preserve">Monthly performance reviews, competency assessments, and compliance audits for the</w:t>
      </w:r>
      <w:r>
        <w:t xml:space="preserve"> </w:t>
      </w:r>
      <w:r>
        <w:t xml:space="preserve">Laboratory Technician</w:t>
      </w:r>
      <w:r>
        <w:t xml:space="preserve"> </w:t>
      </w:r>
      <w:r>
        <w:t xml:space="preserve">throughout the contract duration.</w:t>
      </w:r>
    </w:p>
    <w:p>
      <w:pPr>
        <w:numPr>
          <w:ilvl w:val="0"/>
          <w:numId w:val="1001"/>
        </w:numPr>
        <w:pStyle w:val="Compact"/>
      </w:pPr>
      <w:r>
        <w:rPr>
          <w:bCs/>
          <w:b/>
        </w:rPr>
        <w:t xml:space="preserve">Continuing Education:</w:t>
      </w:r>
      <w:r>
        <w:t xml:space="preserve"> </w:t>
      </w:r>
      <w:r>
        <w:t xml:space="preserve">Provision of at least two accredited professional development workshops per year for the</w:t>
      </w:r>
      <w:r>
        <w:t xml:space="preserve"> </w:t>
      </w:r>
      <w:r>
        <w:t xml:space="preserve">Laboratory Technician</w:t>
      </w:r>
      <w:r>
        <w:t xml:space="preserve">, covering emerging diagnostic technologies and updated Israeli regulatory standards.</w:t>
      </w:r>
    </w:p>
    <w:p>
      <w:pPr>
        <w:numPr>
          <w:ilvl w:val="0"/>
          <w:numId w:val="1001"/>
        </w:numPr>
        <w:pStyle w:val="Compact"/>
      </w:pPr>
      <w:r>
        <w:rPr>
          <w:bCs/>
          <w:b/>
        </w:rPr>
        <w:t xml:space="preserve">Replacement Guarantee:</w:t>
      </w:r>
      <w:r>
        <w:t xml:space="preserve"> </w:t>
      </w:r>
      <w:r>
        <w:t xml:space="preserve">In the event the</w:t>
      </w:r>
      <w:r>
        <w:t xml:space="preserve"> </w:t>
      </w:r>
      <w:r>
        <w:t xml:space="preserve">Laboratory Technician</w:t>
      </w:r>
      <w:r>
        <w:t xml:space="preserve"> </w:t>
      </w:r>
      <w:r>
        <w:t xml:space="preserve">departs or is found unsuitable within the first 90 days, a qualified replacement will be provided at no additional cost to the client in</w:t>
      </w:r>
      <w:r>
        <w:t xml:space="preserve"> </w:t>
      </w:r>
      <w:r>
        <w:t xml:space="preserve">Israel Jerusalem</w:t>
      </w:r>
      <w:r>
        <w:t xml:space="preserve">.</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Unit Cost (ILS)</w:t>
            </w:r>
          </w:p>
        </w:tc>
        <w:tc>
          <w:tcPr/>
          <w:p>
            <w:pPr>
              <w:pStyle w:val="Compact"/>
              <w:jc w:val="left"/>
            </w:pPr>
            <w:r>
              <w:t xml:space="preserve">Quantity</w:t>
            </w:r>
          </w:p>
        </w:tc>
        <w:tc>
          <w:tcPr/>
          <w:p>
            <w:pPr>
              <w:pStyle w:val="Compact"/>
              <w:jc w:val="left"/>
            </w:pPr>
            <w:r>
              <w:t xml:space="preserve">Total (ILS)</w:t>
            </w:r>
          </w:p>
        </w:tc>
      </w:tr>
      <w:tr>
        <w:tc>
          <w:tcPr/>
          <w:p>
            <w:pPr>
              <w:pStyle w:val="Compact"/>
              <w:jc w:val="left"/>
            </w:pPr>
            <w:r>
              <w:t xml:space="preserve">Monthly salary of Laboratory Technician (including employer contributions to Bituach Leumi, pension, and health fund)</w:t>
            </w:r>
          </w:p>
        </w:tc>
        <w:tc>
          <w:tcPr/>
          <w:p>
            <w:pPr>
              <w:pStyle w:val="Compact"/>
              <w:jc w:val="left"/>
            </w:pPr>
            <w:r>
              <w:t xml:space="preserve">12 months</w:t>
            </w:r>
          </w:p>
        </w:tc>
        <w:tc>
          <w:tcPr/>
          <w:p>
            <w:pPr>
              <w:pStyle w:val="Compact"/>
              <w:jc w:val="left"/>
            </w:pPr>
            <w:r>
              <w:t xml:space="preserve">₪ 14,500</w:t>
            </w:r>
          </w:p>
        </w:tc>
        <w:tc>
          <w:tcPr/>
          <w:p>
            <w:pPr>
              <w:pStyle w:val="Compact"/>
              <w:jc w:val="left"/>
            </w:pPr>
            <w:r>
              <w:t xml:space="preserve">12</w:t>
            </w:r>
          </w:p>
        </w:tc>
        <w:tc>
          <w:tcPr/>
          <w:p>
            <w:pPr>
              <w:pStyle w:val="Compact"/>
              <w:jc w:val="left"/>
            </w:pPr>
            <w:r>
              <w:t xml:space="preserve">₪ 174,000</w:t>
            </w:r>
          </w:p>
        </w:tc>
      </w:tr>
      <w:tr>
        <w:tc>
          <w:tcPr/>
          <w:p>
            <w:pPr>
              <w:pStyle w:val="Compact"/>
              <w:jc w:val="left"/>
            </w:pPr>
            <w:r>
              <w:t xml:space="preserve">Recruitment, screening, and placement fee (one-time)</w:t>
            </w:r>
          </w:p>
        </w:tc>
        <w:tc>
          <w:tcPr/>
          <w:p>
            <w:pPr>
              <w:pStyle w:val="Compact"/>
              <w:jc w:val="left"/>
            </w:pPr>
            <w:r>
              <w:t xml:space="preserve">One-time</w:t>
            </w:r>
          </w:p>
        </w:tc>
        <w:tc>
          <w:tcPr/>
          <w:p>
            <w:pPr>
              <w:pStyle w:val="Compact"/>
              <w:jc w:val="left"/>
            </w:pPr>
            <w:r>
              <w:t xml:space="preserve">₪ 8,750</w:t>
            </w:r>
          </w:p>
        </w:tc>
        <w:tc>
          <w:tcPr/>
          <w:p>
            <w:pPr>
              <w:pStyle w:val="Compact"/>
              <w:jc w:val="left"/>
            </w:pPr>
            <w:r>
              <w:t xml:space="preserve">1</w:t>
            </w:r>
          </w:p>
        </w:tc>
        <w:tc>
          <w:tcPr/>
          <w:p>
            <w:pPr>
              <w:pStyle w:val="Compact"/>
              <w:jc w:val="left"/>
            </w:pPr>
            <w:r>
              <w:t xml:space="preserve">₪ 8,750</w:t>
            </w:r>
          </w:p>
        </w:tc>
      </w:tr>
      <w:tr>
        <w:tc>
          <w:tcPr/>
          <w:p>
            <w:pPr>
              <w:pStyle w:val="Compact"/>
              <w:jc w:val="left"/>
            </w:pPr>
            <w:r>
              <w:t xml:space="preserve">Professional licensing and credential verification services in Israel Jerusalem</w:t>
            </w:r>
          </w:p>
        </w:tc>
        <w:tc>
          <w:tcPr/>
          <w:p>
            <w:pPr>
              <w:pStyle w:val="Compact"/>
              <w:jc w:val="left"/>
            </w:pPr>
            <w:r>
              <w:t xml:space="preserve">One-time</w:t>
            </w:r>
          </w:p>
        </w:tc>
        <w:tc>
          <w:tcPr/>
          <w:p>
            <w:pPr>
              <w:pStyle w:val="Compact"/>
              <w:jc w:val="left"/>
            </w:pPr>
            <w:r>
              <w:t xml:space="preserve">₪ 3,200</w:t>
            </w:r>
          </w:p>
        </w:tc>
        <w:tc>
          <w:tcPr/>
          <w:p>
            <w:pPr>
              <w:pStyle w:val="Compact"/>
              <w:jc w:val="left"/>
            </w:pPr>
            <w:r>
              <w:t xml:space="preserve">1</w:t>
            </w:r>
          </w:p>
        </w:tc>
        <w:tc>
          <w:tcPr/>
          <w:p>
            <w:pPr>
              <w:pStyle w:val="Compact"/>
              <w:jc w:val="left"/>
            </w:pPr>
            <w:r>
              <w:t xml:space="preserve">₪ 3,200</w:t>
            </w:r>
          </w:p>
        </w:tc>
      </w:tr>
      <w:tr>
        <w:tc>
          <w:tcPr/>
          <w:p>
            <w:pPr>
              <w:pStyle w:val="Compact"/>
              <w:jc w:val="left"/>
            </w:pPr>
            <w:r>
              <w:t xml:space="preserve">Onboarding, orientation, and facility integration program</w:t>
            </w:r>
          </w:p>
        </w:tc>
        <w:tc>
          <w:tcPr/>
          <w:p>
            <w:pPr>
              <w:pStyle w:val="Compact"/>
              <w:jc w:val="left"/>
            </w:pPr>
            <w:r>
              <w:t xml:space="preserve">One-time</w:t>
            </w:r>
          </w:p>
        </w:tc>
        <w:tc>
          <w:tcPr/>
          <w:p>
            <w:pPr>
              <w:pStyle w:val="Compact"/>
              <w:jc w:val="left"/>
            </w:pPr>
            <w:r>
              <w:t xml:space="preserve">₪ 2,800</w:t>
            </w:r>
          </w:p>
        </w:tc>
        <w:tc>
          <w:tcPr/>
          <w:p>
            <w:pPr>
              <w:pStyle w:val="Compact"/>
              <w:jc w:val="left"/>
            </w:pPr>
            <w:r>
              <w:t xml:space="preserve">1</w:t>
            </w:r>
          </w:p>
        </w:tc>
        <w:tc>
          <w:tcPr/>
          <w:p>
            <w:pPr>
              <w:pStyle w:val="Compact"/>
              <w:jc w:val="left"/>
            </w:pPr>
            <w:r>
              <w:t xml:space="preserve">₪ 2,800</w:t>
            </w:r>
          </w:p>
        </w:tc>
      </w:tr>
      <w:tr>
        <w:tc>
          <w:tcPr/>
          <w:p>
            <w:pPr>
              <w:pStyle w:val="Compact"/>
              <w:jc w:val="left"/>
            </w:pPr>
            <w:r>
              <w:t xml:space="preserve">Monthly supervision, quality assurance, and compliance monitoring</w:t>
            </w:r>
          </w:p>
        </w:tc>
        <w:tc>
          <w:tcPr/>
          <w:p>
            <w:pPr>
              <w:pStyle w:val="Compact"/>
              <w:jc w:val="left"/>
            </w:pPr>
            <w:r>
              <w:t xml:space="preserve">12 months</w:t>
            </w:r>
          </w:p>
        </w:tc>
        <w:tc>
          <w:tcPr/>
          <w:p>
            <w:pPr>
              <w:pStyle w:val="Compact"/>
              <w:jc w:val="left"/>
            </w:pPr>
            <w:r>
              <w:t xml:space="preserve">₪ 1,200</w:t>
            </w:r>
          </w:p>
        </w:tc>
        <w:tc>
          <w:tcPr/>
          <w:p>
            <w:pPr>
              <w:pStyle w:val="Compact"/>
              <w:jc w:val="left"/>
            </w:pPr>
            <w:r>
              <w:t xml:space="preserve">12</w:t>
            </w:r>
          </w:p>
        </w:tc>
        <w:tc>
          <w:tcPr/>
          <w:p>
            <w:pPr>
              <w:pStyle w:val="Compact"/>
              <w:jc w:val="left"/>
            </w:pPr>
            <w:r>
              <w:t xml:space="preserve">₪ 14,400</w:t>
            </w:r>
          </w:p>
        </w:tc>
      </w:tr>
      <w:tr>
        <w:tc>
          <w:tcPr/>
          <w:p>
            <w:pPr>
              <w:pStyle w:val="Compact"/>
              <w:jc w:val="left"/>
            </w:pPr>
            <w:r>
              <w:t xml:space="preserve">Continuing education and professional development (2 workshops/year)</w:t>
            </w:r>
          </w:p>
        </w:tc>
        <w:tc>
          <w:tcPr/>
          <w:p>
            <w:pPr>
              <w:pStyle w:val="Compact"/>
              <w:jc w:val="left"/>
            </w:pPr>
            <w:r>
              <w:t xml:space="preserve">12 months</w:t>
            </w:r>
          </w:p>
        </w:tc>
        <w:tc>
          <w:tcPr/>
          <w:p>
            <w:pPr>
              <w:pStyle w:val="Compact"/>
              <w:jc w:val="left"/>
            </w:pPr>
            <w:r>
              <w:t xml:space="preserve">₪ 1,500</w:t>
            </w:r>
          </w:p>
        </w:tc>
        <w:tc>
          <w:tcPr/>
          <w:p>
            <w:pPr>
              <w:pStyle w:val="Compact"/>
              <w:jc w:val="left"/>
            </w:pPr>
            <w:r>
              <w:t xml:space="preserve">2</w:t>
            </w:r>
          </w:p>
        </w:tc>
        <w:tc>
          <w:tcPr/>
          <w:p>
            <w:pPr>
              <w:pStyle w:val="Compact"/>
              <w:jc w:val="left"/>
            </w:pPr>
            <w:r>
              <w:t xml:space="preserve">₪ 3,000</w:t>
            </w:r>
          </w:p>
        </w:tc>
      </w:tr>
      <w:tr>
        <w:tc>
          <w:tcPr/>
          <w:p>
            <w:pPr>
              <w:pStyle w:val="Compact"/>
              <w:jc w:val="left"/>
            </w:pPr>
            <w:r>
              <w:t xml:space="preserve">Administrative and coordination overhead (Jerusalem office operations)</w:t>
            </w:r>
          </w:p>
        </w:tc>
        <w:tc>
          <w:tcPr/>
          <w:p>
            <w:pPr>
              <w:pStyle w:val="Compact"/>
              <w:jc w:val="left"/>
            </w:pPr>
            <w:r>
              <w:t xml:space="preserve">12 months</w:t>
            </w:r>
          </w:p>
        </w:tc>
        <w:tc>
          <w:tcPr/>
          <w:p>
            <w:pPr>
              <w:pStyle w:val="Compact"/>
              <w:jc w:val="left"/>
            </w:pPr>
            <w:r>
              <w:t xml:space="preserve">₪ 950</w:t>
            </w:r>
          </w:p>
        </w:tc>
        <w:tc>
          <w:tcPr/>
          <w:p>
            <w:pPr>
              <w:pStyle w:val="Compact"/>
              <w:jc w:val="left"/>
            </w:pPr>
            <w:r>
              <w:t xml:space="preserve">12</w:t>
            </w:r>
          </w:p>
        </w:tc>
        <w:tc>
          <w:tcPr/>
          <w:p>
            <w:pPr>
              <w:pStyle w:val="Compact"/>
              <w:jc w:val="left"/>
            </w:pPr>
            <w:r>
              <w:t xml:space="preserve">₪ 11,400</w:t>
            </w:r>
          </w:p>
        </w:tc>
      </w:tr>
      <w:tr>
        <w:tc>
          <w:tcPr>
            <w:gridSpan w:val="4"/>
          </w:tcPr>
          <w:p>
            <w:pPr>
              <w:pStyle w:val="Compact"/>
              <w:jc w:val="left"/>
            </w:pPr>
            <w:r>
              <w:t xml:space="preserve">Subtotal (before VAT)</w:t>
            </w:r>
          </w:p>
        </w:tc>
        <w:tc>
          <w:tcPr/>
          <w:p>
            <w:pPr>
              <w:pStyle w:val="Compact"/>
              <w:jc w:val="left"/>
            </w:pPr>
            <w:r>
              <w:t xml:space="preserve">₪ 217,550</w:t>
            </w:r>
          </w:p>
        </w:tc>
      </w:tr>
      <w:tr>
        <w:tc>
          <w:tcPr>
            <w:gridSpan w:val="4"/>
          </w:tcPr>
          <w:p>
            <w:pPr>
              <w:pStyle w:val="Compact"/>
              <w:jc w:val="left"/>
            </w:pPr>
            <w:r>
              <w:t xml:space="preserve">VAT @ 18%</w:t>
            </w:r>
          </w:p>
        </w:tc>
        <w:tc>
          <w:tcPr/>
          <w:p>
            <w:pPr>
              <w:pStyle w:val="Compact"/>
              <w:jc w:val="left"/>
            </w:pPr>
            <w:r>
              <w:t xml:space="preserve">₪ 39,159</w:t>
            </w:r>
          </w:p>
        </w:tc>
      </w:tr>
      <w:tr>
        <w:tc>
          <w:tcPr>
            <w:gridSpan w:val="4"/>
          </w:tcPr>
          <w:p>
            <w:pPr>
              <w:pStyle w:val="Compact"/>
              <w:jc w:val="left"/>
            </w:pPr>
            <w:r>
              <w:rPr>
                <w:bCs/>
                <w:b/>
              </w:rPr>
              <w:t xml:space="preserve">Grand Total – Quotation Estimate (ILS)</w:t>
            </w:r>
          </w:p>
        </w:tc>
        <w:tc>
          <w:tcPr/>
          <w:p>
            <w:pPr>
              <w:pStyle w:val="Compact"/>
              <w:jc w:val="left"/>
            </w:pPr>
            <w:r>
              <w:rPr>
                <w:bCs/>
                <w:b/>
              </w:rPr>
              <w:t xml:space="preserve">₪ 256,709</w:t>
            </w:r>
          </w:p>
        </w:tc>
      </w:tr>
    </w:tbl>
    <w:bookmarkEnd w:id="24"/>
    <w:bookmarkStart w:id="25" w:name="terms-and-conditions"/>
    <w:p>
      <w:pPr>
        <w:pStyle w:val="Heading2"/>
      </w:pPr>
      <w:r>
        <w:t xml:space="preserve">5. Terms and Conditions</w:t>
      </w:r>
    </w:p>
    <w:p>
      <w:pPr>
        <w:pStyle w:val="FirstParagraph"/>
      </w:pPr>
      <w:r>
        <w:t xml:space="preserve">5.1. This</w:t>
      </w:r>
      <w:r>
        <w:t xml:space="preserve"> </w:t>
      </w:r>
      <w:r>
        <w:t xml:space="preserve">Quotation Estimate</w:t>
      </w:r>
      <w:r>
        <w:t xml:space="preserve"> </w:t>
      </w:r>
      <w:r>
        <w:t xml:space="preserve">is valid for a period of thirty (30) calendar days from the date of issue. Beyond this period, all pricing for the</w:t>
      </w:r>
      <w:r>
        <w:t xml:space="preserve"> </w:t>
      </w:r>
      <w:r>
        <w:t xml:space="preserve">Laboratory Technician</w:t>
      </w:r>
      <w:r>
        <w:t xml:space="preserve"> </w:t>
      </w:r>
      <w:r>
        <w:t xml:space="preserve">engagement in</w:t>
      </w:r>
      <w:r>
        <w:t xml:space="preserve"> </w:t>
      </w:r>
      <w:r>
        <w:t xml:space="preserve">Israel Jerusalem</w:t>
      </w:r>
      <w:r>
        <w:t xml:space="preserve"> </w:t>
      </w:r>
      <w:r>
        <w:t xml:space="preserve">is subject to revision based on prevailing market conditions and regulatory changes.</w:t>
      </w:r>
    </w:p>
    <w:p>
      <w:pPr>
        <w:pStyle w:val="BodyText"/>
      </w:pPr>
      <w:r>
        <w:t xml:space="preserve">5.2. Payment terms: 50% of the total</w:t>
      </w:r>
      <w:r>
        <w:t xml:space="preserve"> </w:t>
      </w:r>
      <w:r>
        <w:t xml:space="preserve">Quotation Estimate</w:t>
      </w:r>
      <w:r>
        <w:t xml:space="preserve"> </w:t>
      </w:r>
      <w:r>
        <w:t xml:space="preserve">amount is due upon signing of the service agreement; the remaining 50% shall be paid in equal monthly installments over the twelve-month contract period. All payments are to be made via bank transfer to the account of MedLab Professional Staffing Solutions Ltd., Bank Leumi, Branch Jerusalem, Account No. 001-445678-9.</w:t>
      </w:r>
    </w:p>
    <w:p>
      <w:pPr>
        <w:pStyle w:val="BodyText"/>
      </w:pPr>
      <w:r>
        <w:t xml:space="preserve">5.3. The</w:t>
      </w:r>
      <w:r>
        <w:t xml:space="preserve"> </w:t>
      </w:r>
      <w:r>
        <w:t xml:space="preserve">Laboratory Technician</w:t>
      </w:r>
      <w:r>
        <w:t xml:space="preserve"> </w:t>
      </w:r>
      <w:r>
        <w:t xml:space="preserve">shall be subject to the employment laws of the State of Israel, including the Minimum Wage Law, the Hours of Work and Rest Law, and all applicable collective agreements for laboratory professionals in the Jerusalem region.</w:t>
      </w:r>
    </w:p>
    <w:p>
      <w:pPr>
        <w:pStyle w:val="BodyText"/>
      </w:pPr>
      <w:r>
        <w:t xml:space="preserve">5.4. Either party may terminate the engagement with a written notice of thirty (30) days. In the event of early termination by the client, a pro-rata charge of 15% of the remaining contract value will apply, as stipulated in this</w:t>
      </w:r>
      <w:r>
        <w:t xml:space="preserve"> </w:t>
      </w:r>
      <w:r>
        <w:t xml:space="preserve">Quotation Estimate</w:t>
      </w:r>
      <w:r>
        <w:t xml:space="preserve">.</w:t>
      </w:r>
    </w:p>
    <w:p>
      <w:pPr>
        <w:pStyle w:val="BodyText"/>
      </w:pPr>
      <w:r>
        <w:t xml:space="preserve">5.5. All data processed by the</w:t>
      </w:r>
      <w:r>
        <w:t xml:space="preserve"> </w:t>
      </w:r>
      <w:r>
        <w:t xml:space="preserve">Laboratory Technician</w:t>
      </w:r>
      <w:r>
        <w:t xml:space="preserve"> </w:t>
      </w:r>
      <w:r>
        <w:t xml:space="preserve">in</w:t>
      </w:r>
      <w:r>
        <w:t xml:space="preserve"> </w:t>
      </w:r>
      <w:r>
        <w:t xml:space="preserve">Israel Jerusalem</w:t>
      </w:r>
      <w:r>
        <w:t xml:space="preserve"> </w:t>
      </w:r>
      <w:r>
        <w:t xml:space="preserve">shall be handled in strict accordance with the Israeli Privacy Protection Law, 5741-1981, and the institution's internal data governance policies.</w:t>
      </w:r>
    </w:p>
    <w:p>
      <w:pPr>
        <w:pStyle w:val="BodyText"/>
      </w:pPr>
      <w:r>
        <w:t xml:space="preserve">5.6. This</w:t>
      </w:r>
      <w:r>
        <w:t xml:space="preserve"> </w:t>
      </w:r>
      <w:r>
        <w:t xml:space="preserve">Quotation Estimate</w:t>
      </w:r>
      <w:r>
        <w:t xml:space="preserve"> </w:t>
      </w:r>
      <w:r>
        <w:t xml:space="preserve">does not constitute a binding contract until formally accepted in writing by both parties. Acceptance shall be evidenced by the signature of an authorized representative of the client and the issuance of a formal Service Agreement by MedLab Professional Staffing Solutions Ltd.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Laboratory Technician</w:t>
      </w:r>
      <w:r>
        <w:t xml:space="preserve"> </w:t>
      </w:r>
      <w:r>
        <w:t xml:space="preserve">position in</w:t>
      </w:r>
      <w:r>
        <w:t xml:space="preserve"> </w:t>
      </w:r>
      <w:r>
        <w:t xml:space="preserve">Israel Jerusalem</w:t>
      </w:r>
      <w:r>
        <w:t xml:space="preserve"> </w:t>
      </w:r>
      <w:r>
        <w:t xml:space="preserve">and agrees to the terms, conditions, and financial obligations outlined herein.</w:t>
      </w:r>
    </w:p>
    <w:p>
      <w:pPr>
        <w:pStyle w:val="BodyText"/>
      </w:pPr>
      <w:r>
        <w:rPr>
          <w:bCs/>
          <w:b/>
        </w:rPr>
        <w:t xml:space="preserve">For MedLab Professional Staffing Solutions Ltd.</w:t>
      </w:r>
      <w:r>
        <w:br/>
      </w:r>
      <w:r>
        <w:t xml:space="preserve">Name: Dr. Sarah Cohen</w:t>
      </w:r>
      <w:r>
        <w:br/>
      </w:r>
      <w:r>
        <w:t xml:space="preserve">Title: Head of Staffing Division</w:t>
      </w:r>
      <w:r>
        <w:br/>
      </w:r>
      <w:r>
        <w:t xml:space="preserve">Date: _______________</w:t>
      </w:r>
    </w:p>
    <w:p>
      <w:pPr>
        <w:pStyle w:val="BodyText"/>
      </w:pPr>
      <w:r>
        <w:rPr>
          <w:bCs/>
          <w:b/>
        </w:rPr>
        <w:t xml:space="preserve">For the Client – Jerusalem Medical Research Institute</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(Ref: QTE-2025-JER-00472) was prepared exclusively for the Laboratory Technician placement in Israel Jerusalem. Unauthorized reproduction or distribution is prohibited. © 2025 MedLab Professional Staffing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Israel Jerusalem</dc:title>
  <dc:creator/>
  <dc:language>en</dc:language>
  <cp:keywords/>
  <dcterms:created xsi:type="dcterms:W3CDTF">2026-10-10T06:20:21Z</dcterms:created>
  <dcterms:modified xsi:type="dcterms:W3CDTF">2026-10-10T06:20:21Z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