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Staffing &amp; Technical Services Division</w:t>
      </w:r>
    </w:p>
    <w:p>
      <w:pPr>
        <w:pStyle w:val="BodyText"/>
      </w:pPr>
      <w:r>
        <w:t xml:space="preserve">MedTech Personnel Solutions Ltd. | 45 Allenby Street, Tel Aviv-Yafo, Israel 6671203</w:t>
      </w:r>
    </w:p>
    <w:p>
      <w:pPr>
        <w:pStyle w:val="BodyText"/>
      </w:pPr>
      <w:r>
        <w:t xml:space="preserve">Tel: +972-3-621-4500 | Email: estimates@medtech-personnel.co.il | VAT: 51-804-221-3</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QTE-2025-TLV-0487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Dr. Miriam Levi, Head of Clinical Operations, Sheba Medical Center – Tel Aviv Campus</w:t>
            </w:r>
          </w:p>
        </w:tc>
      </w:tr>
      <w:tr>
        <w:tc>
          <w:tcPr/>
          <w:p>
            <w:pPr>
              <w:pStyle w:val="Compact"/>
              <w:jc w:val="left"/>
            </w:pPr>
            <w:r>
              <w:t xml:space="preserve">Project Reference:</w:t>
            </w:r>
          </w:p>
        </w:tc>
        <w:tc>
          <w:tcPr/>
          <w:p>
            <w:pPr>
              <w:pStyle w:val="Compact"/>
              <w:jc w:val="left"/>
            </w:pPr>
            <w:r>
              <w:t xml:space="preserve">Laboratory Technician Recruitment &amp; Deployment – Q3 2025</w:t>
            </w:r>
          </w:p>
        </w:tc>
      </w:tr>
      <w:tr>
        <w:tc>
          <w:tcPr/>
          <w:p>
            <w:pPr>
              <w:pStyle w:val="Compact"/>
              <w:jc w:val="left"/>
            </w:pPr>
            <w:r>
              <w:t xml:space="preserve">Service Location:</w:t>
            </w:r>
          </w:p>
        </w:tc>
        <w:tc>
          <w:tcPr/>
          <w:p>
            <w:pPr>
              <w:pStyle w:val="Compact"/>
              <w:jc w:val="left"/>
            </w:pPr>
            <w:r>
              <w:t xml:space="preserve">Israel Tel Aviv – Primary Laboratory Wing, 12 HaYarkon Road, Tel Aviv 6971901</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MedTech Personnel Solutions Ltd. in response to the formal request for the recruitment, vetting, and deployment of qualified</w:t>
      </w:r>
      <w:r>
        <w:t xml:space="preserve"> </w:t>
      </w:r>
      <w:r>
        <w:t xml:space="preserve">Laboratory Technician</w:t>
      </w:r>
      <w:r>
        <w:t xml:space="preserve"> </w:t>
      </w:r>
      <w:r>
        <w:t xml:space="preserve">personnel to support the expanding diagnostic and research operations at the Tel Aviv campus. The scope of this engagement covers the full lifecycle of staffing services, including candidate sourcing, credential verification, regulatory compliance screening under Israeli Ministry of Health guidelines, onboarding, and a twelve-month performance guarantee period. All services described herein are specifically tailored to the operational requirements of a high-volume clinical laboratory situated in</w:t>
      </w:r>
      <w:r>
        <w:t xml:space="preserve"> </w:t>
      </w:r>
      <w:r>
        <w:t xml:space="preserve">Israel Tel Aviv</w:t>
      </w:r>
      <w:r>
        <w:t xml:space="preserve">, where demand for certified technical staff continues to grow in alignment with national healthcare modernization initiatives.</w:t>
      </w:r>
    </w:p>
    <w:bookmarkEnd w:id="21"/>
    <w:bookmarkStart w:id="22" w:name="scope-of-services"/>
    <w:p>
      <w:pPr>
        <w:pStyle w:val="Heading2"/>
      </w:pPr>
      <w:r>
        <w:t xml:space="preserve">2. Scope of Services</w:t>
      </w:r>
    </w:p>
    <w:p>
      <w:pPr>
        <w:pStyle w:val="FirstParagraph"/>
      </w:pPr>
      <w:r>
        <w:t xml:space="preserve">The</w:t>
      </w:r>
      <w:r>
        <w:t xml:space="preserve"> </w:t>
      </w:r>
      <w:r>
        <w:t xml:space="preserve">Laboratory Technician</w:t>
      </w:r>
      <w:r>
        <w:t xml:space="preserve"> </w:t>
      </w:r>
      <w:r>
        <w:t xml:space="preserve">positions covered under this Quotation Estimate include the following functional areas:</w:t>
      </w:r>
    </w:p>
    <w:p>
      <w:pPr>
        <w:numPr>
          <w:ilvl w:val="0"/>
          <w:numId w:val="1001"/>
        </w:numPr>
        <w:pStyle w:val="Compact"/>
      </w:pPr>
      <w:r>
        <w:rPr>
          <w:bCs/>
          <w:b/>
        </w:rPr>
        <w:t xml:space="preserve">Clinical Pathology Support:</w:t>
      </w:r>
      <w:r>
        <w:t xml:space="preserve"> </w:t>
      </w:r>
      <w:r>
        <w:t xml:space="preserve">Daily operation of hematology, coagulation, and biochemistry analyzers; specimen processing, quality control, and result validation under the supervision of a senior pathologist.</w:t>
      </w:r>
    </w:p>
    <w:p>
      <w:pPr>
        <w:numPr>
          <w:ilvl w:val="0"/>
          <w:numId w:val="1001"/>
        </w:numPr>
        <w:pStyle w:val="Compact"/>
      </w:pPr>
      <w:r>
        <w:rPr>
          <w:bCs/>
          <w:b/>
        </w:rPr>
        <w:t xml:space="preserve">Microbiology &amp; Serology:</w:t>
      </w:r>
      <w:r>
        <w:t xml:space="preserve"> </w:t>
      </w:r>
      <w:r>
        <w:t xml:space="preserve">Culture preparation, antibiotic susceptibility testing, and serological assay execution in accordance with ISO 15189:2022 standards applicable in Israel Tel Aviv laboratories.</w:t>
      </w:r>
    </w:p>
    <w:p>
      <w:pPr>
        <w:numPr>
          <w:ilvl w:val="0"/>
          <w:numId w:val="1001"/>
        </w:numPr>
        <w:pStyle w:val="Compact"/>
      </w:pPr>
      <w:r>
        <w:rPr>
          <w:bCs/>
          <w:b/>
        </w:rPr>
        <w:t xml:space="preserve">Molecular Diagnostics:</w:t>
      </w:r>
      <w:r>
        <w:t xml:space="preserve"> </w:t>
      </w:r>
      <w:r>
        <w:t xml:space="preserve">Assisted operation of PCR and next-generation sequencing platforms, including reagent preparation, sample extraction, and data logging.</w:t>
      </w:r>
    </w:p>
    <w:p>
      <w:pPr>
        <w:numPr>
          <w:ilvl w:val="0"/>
          <w:numId w:val="1001"/>
        </w:numPr>
        <w:pStyle w:val="Compact"/>
      </w:pPr>
      <w:r>
        <w:rPr>
          <w:bCs/>
          <w:b/>
        </w:rPr>
        <w:t xml:space="preserve">Quality Assurance &amp; Compliance:</w:t>
      </w:r>
      <w:r>
        <w:t xml:space="preserve"> </w:t>
      </w:r>
      <w:r>
        <w:t xml:space="preserve">Participation in internal audits, maintenance of calibration records, and adherence to the Israeli Standards Institute (SII) regulations governing medical laboratory practice.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Line Item</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Recruitment &amp; Sourcing – Laboratory Technician (Senior Level, 5+ yrs)</w:t>
            </w:r>
          </w:p>
        </w:tc>
        <w:tc>
          <w:tcPr/>
          <w:p>
            <w:pPr>
              <w:pStyle w:val="Compact"/>
              <w:jc w:val="left"/>
            </w:pPr>
            <w:r>
              <w:t xml:space="preserve">3 positions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2</w:t>
            </w:r>
          </w:p>
        </w:tc>
        <w:tc>
          <w:tcPr/>
          <w:p>
            <w:pPr>
              <w:pStyle w:val="Compact"/>
              <w:jc w:val="left"/>
            </w:pPr>
            <w:r>
              <w:t xml:space="preserve">Recruitment &amp; Sourcing – Laboratory Technician (Mid Level, 2–4 yrs)</w:t>
            </w:r>
          </w:p>
        </w:tc>
        <w:tc>
          <w:tcPr/>
          <w:p>
            <w:pPr>
              <w:pStyle w:val="Compact"/>
              <w:jc w:val="left"/>
            </w:pPr>
            <w:r>
              <w:t xml:space="preserve">4 positions</w:t>
            </w:r>
          </w:p>
        </w:tc>
        <w:tc>
          <w:tcPr/>
          <w:p>
            <w:pPr>
              <w:pStyle w:val="Compact"/>
              <w:jc w:val="left"/>
            </w:pPr>
            <w:r>
              <w:t xml:space="preserve">14,200</w:t>
            </w:r>
          </w:p>
        </w:tc>
        <w:tc>
          <w:tcPr/>
          <w:p>
            <w:pPr>
              <w:pStyle w:val="Compact"/>
              <w:jc w:val="left"/>
            </w:pPr>
            <w:r>
              <w:t xml:space="preserve">56,800</w:t>
            </w:r>
          </w:p>
        </w:tc>
      </w:tr>
      <w:tr>
        <w:tc>
          <w:tcPr/>
          <w:p>
            <w:pPr>
              <w:pStyle w:val="Compact"/>
              <w:jc w:val="left"/>
            </w:pPr>
            <w:r>
              <w:t xml:space="preserve">3</w:t>
            </w:r>
          </w:p>
        </w:tc>
        <w:tc>
          <w:tcPr/>
          <w:p>
            <w:pPr>
              <w:pStyle w:val="Compact"/>
              <w:jc w:val="left"/>
            </w:pPr>
            <w:r>
              <w:t xml:space="preserve">Credential Verification &amp; Israeli Ministry of Health License Validation</w:t>
            </w:r>
          </w:p>
        </w:tc>
        <w:tc>
          <w:tcPr/>
          <w:p>
            <w:pPr>
              <w:pStyle w:val="Compact"/>
              <w:jc w:val="left"/>
            </w:pPr>
            <w:r>
              <w:t xml:space="preserve">7 candidates</w:t>
            </w:r>
          </w:p>
        </w:tc>
        <w:tc>
          <w:tcPr/>
          <w:p>
            <w:pPr>
              <w:pStyle w:val="Compact"/>
              <w:jc w:val="left"/>
            </w:pPr>
            <w:r>
              <w:t xml:space="preserve">3,800</w:t>
            </w:r>
          </w:p>
        </w:tc>
        <w:tc>
          <w:tcPr/>
          <w:p>
            <w:pPr>
              <w:pStyle w:val="Compact"/>
              <w:jc w:val="left"/>
            </w:pPr>
            <w:r>
              <w:t xml:space="preserve">26,600</w:t>
            </w:r>
          </w:p>
        </w:tc>
      </w:tr>
      <w:tr>
        <w:tc>
          <w:tcPr/>
          <w:p>
            <w:pPr>
              <w:pStyle w:val="Compact"/>
              <w:jc w:val="left"/>
            </w:pPr>
            <w:r>
              <w:t xml:space="preserve">4</w:t>
            </w:r>
          </w:p>
        </w:tc>
        <w:tc>
          <w:tcPr/>
          <w:p>
            <w:pPr>
              <w:pStyle w:val="Compact"/>
              <w:jc w:val="left"/>
            </w:pPr>
            <w:r>
              <w:t xml:space="preserve">Regulatory Compliance Screening (SII, ISO 15189, CLIA-equivalent)</w:t>
            </w:r>
          </w:p>
        </w:tc>
        <w:tc>
          <w:tcPr/>
          <w:p>
            <w:pPr>
              <w:pStyle w:val="Compact"/>
              <w:jc w:val="left"/>
            </w:pPr>
            <w:r>
              <w:t xml:space="preserve">7 candidates</w:t>
            </w:r>
          </w:p>
        </w:tc>
        <w:tc>
          <w:tcPr/>
          <w:p>
            <w:pPr>
              <w:pStyle w:val="Compact"/>
              <w:jc w:val="left"/>
            </w:pPr>
            <w:r>
              <w:t xml:space="preserve">2,950</w:t>
            </w:r>
          </w:p>
        </w:tc>
        <w:tc>
          <w:tcPr/>
          <w:p>
            <w:pPr>
              <w:pStyle w:val="Compact"/>
              <w:jc w:val="left"/>
            </w:pPr>
            <w:r>
              <w:t xml:space="preserve">20,650</w:t>
            </w:r>
          </w:p>
        </w:tc>
      </w:tr>
      <w:tr>
        <w:tc>
          <w:tcPr/>
          <w:p>
            <w:pPr>
              <w:pStyle w:val="Compact"/>
              <w:jc w:val="left"/>
            </w:pPr>
            <w:r>
              <w:t xml:space="preserve">5</w:t>
            </w:r>
          </w:p>
        </w:tc>
        <w:tc>
          <w:tcPr/>
          <w:p>
            <w:pPr>
              <w:pStyle w:val="Compact"/>
              <w:jc w:val="left"/>
            </w:pPr>
            <w:r>
              <w:t xml:space="preserve">Onboarding, Orientation &amp; Site-Specific Training (Israel Tel Aviv facility)</w:t>
            </w:r>
          </w:p>
        </w:tc>
        <w:tc>
          <w:tcPr/>
          <w:p>
            <w:pPr>
              <w:pStyle w:val="Compact"/>
              <w:jc w:val="left"/>
            </w:pPr>
            <w:r>
              <w:t xml:space="preserve">7 candidates</w:t>
            </w:r>
          </w:p>
        </w:tc>
        <w:tc>
          <w:tcPr/>
          <w:p>
            <w:pPr>
              <w:pStyle w:val="Compact"/>
              <w:jc w:val="left"/>
            </w:pPr>
            <w:r>
              <w:t xml:space="preserve">5,400</w:t>
            </w:r>
          </w:p>
        </w:tc>
        <w:tc>
          <w:tcPr/>
          <w:p>
            <w:pPr>
              <w:pStyle w:val="Compact"/>
              <w:jc w:val="left"/>
            </w:pPr>
            <w:r>
              <w:t xml:space="preserve">37,800</w:t>
            </w:r>
          </w:p>
        </w:tc>
      </w:tr>
      <w:tr>
        <w:tc>
          <w:tcPr/>
          <w:p>
            <w:pPr>
              <w:pStyle w:val="Compact"/>
              <w:jc w:val="left"/>
            </w:pPr>
            <w:r>
              <w:t xml:space="preserve">6</w:t>
            </w:r>
          </w:p>
        </w:tc>
        <w:tc>
          <w:tcPr/>
          <w:p>
            <w:pPr>
              <w:pStyle w:val="Compact"/>
              <w:jc w:val="left"/>
            </w:pPr>
            <w:r>
              <w:t xml:space="preserve">Twelve-Month Performance Guarantee &amp; Replacement Assurance</w:t>
            </w:r>
          </w:p>
        </w:tc>
        <w:tc>
          <w:tcPr/>
          <w:p>
            <w:pPr>
              <w:pStyle w:val="Compact"/>
              <w:jc w:val="left"/>
            </w:pPr>
            <w:r>
              <w:t xml:space="preserve">7 positions</w:t>
            </w:r>
          </w:p>
        </w:tc>
        <w:tc>
          <w:tcPr/>
          <w:p>
            <w:pPr>
              <w:pStyle w:val="Compact"/>
              <w:jc w:val="left"/>
            </w:pPr>
            <w:r>
              <w:t xml:space="preserve">4,100</w:t>
            </w:r>
          </w:p>
        </w:tc>
        <w:tc>
          <w:tcPr/>
          <w:p>
            <w:pPr>
              <w:pStyle w:val="Compact"/>
              <w:jc w:val="left"/>
            </w:pPr>
            <w:r>
              <w:t xml:space="preserve">28,700</w:t>
            </w:r>
          </w:p>
        </w:tc>
      </w:tr>
      <w:tr>
        <w:tc>
          <w:tcPr/>
          <w:p>
            <w:pPr>
              <w:pStyle w:val="Compact"/>
              <w:jc w:val="left"/>
            </w:pPr>
            <w:r>
              <w:t xml:space="preserve">7</w:t>
            </w:r>
          </w:p>
        </w:tc>
        <w:tc>
          <w:tcPr/>
          <w:p>
            <w:pPr>
              <w:pStyle w:val="Compact"/>
              <w:jc w:val="left"/>
            </w:pPr>
            <w:r>
              <w:t xml:space="preserve">Monthly Administrative &amp; Payroll Coordination (12 months)</w:t>
            </w:r>
          </w:p>
        </w:tc>
        <w:tc>
          <w:tcPr/>
          <w:p>
            <w:pPr>
              <w:pStyle w:val="Compact"/>
              <w:jc w:val="left"/>
            </w:pPr>
            <w:r>
              <w:t xml:space="preserve">12 months</w:t>
            </w:r>
          </w:p>
        </w:tc>
        <w:tc>
          <w:tcPr/>
          <w:p>
            <w:pPr>
              <w:pStyle w:val="Compact"/>
              <w:jc w:val="left"/>
            </w:pPr>
            <w:r>
              <w:t xml:space="preserve">6,200</w:t>
            </w:r>
          </w:p>
        </w:tc>
        <w:tc>
          <w:tcPr/>
          <w:p>
            <w:pPr>
              <w:pStyle w:val="Compact"/>
              <w:jc w:val="left"/>
            </w:pPr>
            <w:r>
              <w:t xml:space="preserve">74,400</w:t>
            </w:r>
          </w:p>
        </w:tc>
      </w:tr>
      <w:tr>
        <w:tc>
          <w:tcPr/>
          <w:p>
            <w:pPr>
              <w:pStyle w:val="Compact"/>
              <w:jc w:val="left"/>
            </w:pPr>
            <w:r>
              <w:t xml:space="preserve">8</w:t>
            </w:r>
          </w:p>
        </w:tc>
        <w:tc>
          <w:tcPr/>
          <w:p>
            <w:pPr>
              <w:pStyle w:val="Compact"/>
              <w:jc w:val="left"/>
            </w:pPr>
            <w:r>
              <w:t xml:space="preserve">Contingency &amp; Project Management Oversight</w:t>
            </w:r>
          </w:p>
        </w:tc>
        <w:tc>
          <w:tcPr/>
          <w:p>
            <w:pPr>
              <w:pStyle w:val="Compact"/>
              <w:jc w:val="left"/>
            </w:pPr>
            <w:r>
              <w:t xml:space="preserve">1 project</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right"/>
            </w:pPr>
            <w:r>
              <w:t xml:space="preserve">Subtotal (excl. VAT):</w:t>
            </w:r>
          </w:p>
        </w:tc>
        <w:tc>
          <w:tcPr/>
          <w:p>
            <w:pPr>
              <w:pStyle w:val="Compact"/>
              <w:jc w:val="left"/>
            </w:pPr>
            <w:r>
              <w:t xml:space="preserve">312,450</w:t>
            </w:r>
          </w:p>
        </w:tc>
      </w:tr>
      <w:tr>
        <w:tc>
          <w:tcPr>
            <w:gridSpan w:val="4"/>
          </w:tcPr>
          <w:p>
            <w:pPr>
              <w:pStyle w:val="Compact"/>
              <w:jc w:val="right"/>
            </w:pPr>
            <w:r>
              <w:t xml:space="preserve">VAT @ 18% (Israel):</w:t>
            </w:r>
          </w:p>
        </w:tc>
        <w:tc>
          <w:tcPr/>
          <w:p>
            <w:pPr>
              <w:pStyle w:val="Compact"/>
              <w:jc w:val="left"/>
            </w:pPr>
            <w:r>
              <w:t xml:space="preserve">56,241</w:t>
            </w:r>
          </w:p>
        </w:tc>
      </w:tr>
      <w:tr>
        <w:tc>
          <w:tcPr>
            <w:gridSpan w:val="4"/>
          </w:tcPr>
          <w:p>
            <w:pPr>
              <w:pStyle w:val="Compact"/>
              <w:jc w:val="right"/>
            </w:pPr>
            <w:r>
              <w:t xml:space="preserve">TOTAL ESTIMATED COST (incl. VAT):</w:t>
            </w:r>
          </w:p>
        </w:tc>
        <w:tc>
          <w:tcPr/>
          <w:p>
            <w:pPr>
              <w:pStyle w:val="Compact"/>
              <w:jc w:val="left"/>
            </w:pPr>
            <w:r>
              <w:t xml:space="preserve">368,691 ILS</w:t>
            </w:r>
          </w:p>
        </w:tc>
      </w:tr>
    </w:tbl>
    <w:bookmarkEnd w:id="23"/>
    <w:bookmarkStart w:id="24" w:name="assumptions-exclusions"/>
    <w:p>
      <w:pPr>
        <w:pStyle w:val="Heading2"/>
      </w:pPr>
      <w:r>
        <w:t xml:space="preserve">4. Assumptions &amp; Exclusions</w:t>
      </w:r>
    </w:p>
    <w:p>
      <w:pPr>
        <w:pStyle w:val="FirstParagraph"/>
      </w:pPr>
      <w:r>
        <w:t xml:space="preserve">This Quotation Estimate assumes that the client facility in Israel Tel Aviv provides all necessary laboratory equipment, reagents, personal protective equipment, and secure workspace for the deployed Laboratory Technician staff. The estimate does not include the technicians' base salaries, which are to be paid directly by the client in accordance with the Israeli National Wage Board agreements for medical laboratory personnel. Travel, accommodation, and relocation expenses for candidates sourced from outside the Tel Aviv metropolitan area are excluded and will be billed at cost if required.</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Upon expiration, pricing may be subject to revision based on prevailing labor market conditions in Israel Tel Aviv.</w:t>
      </w:r>
    </w:p>
    <w:p>
      <w:pPr>
        <w:numPr>
          <w:ilvl w:val="0"/>
          <w:numId w:val="1002"/>
        </w:numPr>
        <w:pStyle w:val="Compact"/>
      </w:pPr>
      <w:r>
        <w:t xml:space="preserve">Payment terms: 40% advance upon acceptance of this Quotation Estimate; 35% upon successful placement of all Laboratory Technician candidates; 25% upon completion of the onboarding and training phase.</w:t>
      </w:r>
    </w:p>
    <w:p>
      <w:pPr>
        <w:numPr>
          <w:ilvl w:val="0"/>
          <w:numId w:val="1002"/>
        </w:numPr>
        <w:pStyle w:val="Compact"/>
      </w:pPr>
      <w:r>
        <w:t xml:space="preserve">All payments are due within fourteen (14) business days of invoice date. Late payments shall accrue interest at the rate prescribed by the Israeli Late Payment Law (5.5% per annum).</w:t>
      </w:r>
    </w:p>
    <w:p>
      <w:pPr>
        <w:numPr>
          <w:ilvl w:val="0"/>
          <w:numId w:val="1002"/>
        </w:numPr>
        <w:pStyle w:val="Compact"/>
      </w:pPr>
      <w:r>
        <w:t xml:space="preserve">The twelve-month performance guarantee ensures that any Laboratory Technician who fails to meet the agreed competency benchmarks within the first ninety (90) days of deployment shall be replaced at no additional recruitment cost to the client.</w:t>
      </w:r>
    </w:p>
    <w:p>
      <w:pPr>
        <w:numPr>
          <w:ilvl w:val="0"/>
          <w:numId w:val="1002"/>
        </w:numPr>
        <w:pStyle w:val="Compact"/>
      </w:pPr>
      <w:r>
        <w:t xml:space="preserve">All candidate data shall be handled in strict compliance with the Israeli Privacy Protection Law, 5741-1981, and the General Data Protection Regulation (GDPR) where applicable to EU-origin candidates.</w:t>
      </w:r>
    </w:p>
    <w:p>
      <w:pPr>
        <w:numPr>
          <w:ilvl w:val="0"/>
          <w:numId w:val="1002"/>
        </w:numPr>
        <w:pStyle w:val="Compact"/>
      </w:pPr>
      <w:r>
        <w:t xml:space="preserve">This Quotation Estimate does not constitute a binding contract until countersigned by both parties and a formal Service Agreement is executed.</w:t>
      </w:r>
    </w:p>
    <w:p>
      <w:pPr>
        <w:numPr>
          <w:ilvl w:val="0"/>
          <w:numId w:val="1002"/>
        </w:numPr>
        <w:pStyle w:val="Compact"/>
      </w:pPr>
      <w:r>
        <w:t xml:space="preserve">Any changes to the scope of work, number of positions, or service location within Israel Tel Aviv must be documented in a written amendment to this Quotation Estimate prior to implementation.</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conditions, and pricing outlined for the Laboratory Technician staffing engagement in Israel Tel Aviv. MedTech Personnel Solutions Ltd. confirms its commitment to delivering the services described herein with the highest standards of professionalism and regulatory compliance.</w:t>
      </w:r>
    </w:p>
    <w:p>
      <w:pPr>
        <w:pStyle w:val="BodyText"/>
      </w:pPr>
      <w:r>
        <w:rPr>
          <w:bCs/>
          <w:b/>
        </w:rPr>
        <w:t xml:space="preserve">For MedTech Personnel Solutions Ltd.:</w:t>
      </w:r>
    </w:p>
    <w:p>
      <w:pPr>
        <w:pStyle w:val="BodyText"/>
      </w:pPr>
      <w:r>
        <w:t xml:space="preserve">Name: David Rosen, Managing Director</w:t>
      </w:r>
      <w:r>
        <w:br/>
      </w:r>
      <w:r>
        <w:t xml:space="preserve">Signature: _________________________</w:t>
      </w:r>
      <w:r>
        <w:br/>
      </w:r>
      <w:r>
        <w:t xml:space="preserve">Date: _________________________</w:t>
      </w:r>
    </w:p>
    <w:p>
      <w:pPr>
        <w:pStyle w:val="BodyText"/>
      </w:pPr>
      <w:r>
        <w:rPr>
          <w:bCs/>
          <w:b/>
        </w:rPr>
        <w:t xml:space="preserve">For the Client (Sheba Medical Center – Tel Aviv):</w:t>
      </w:r>
    </w:p>
    <w:p>
      <w:pPr>
        <w:pStyle w:val="BodyText"/>
      </w:pPr>
      <w:r>
        <w:t xml:space="preserve">Name: Dr. Miriam Levi, Head of Clinical Operations</w:t>
      </w:r>
      <w:r>
        <w:br/>
      </w:r>
      <w:r>
        <w:t xml:space="preserve">Signature: _________________________</w:t>
      </w:r>
      <w:r>
        <w:br/>
      </w:r>
      <w:r>
        <w:t xml:space="preserve">Date: _________________________</w:t>
      </w:r>
    </w:p>
    <w:p>
      <w:pPr>
        <w:pStyle w:val="BodyText"/>
      </w:pPr>
      <w:r>
        <w:t xml:space="preserve">MedTech Personnel Solutions Ltd. | 45 Allenby Street, Tel Aviv-Yafo, Israel 6671203 | Reg. No. 51-804-221-3</w:t>
      </w:r>
    </w:p>
    <w:p>
      <w:pPr>
        <w:pStyle w:val="BodyText"/>
      </w:pPr>
      <w:r>
        <w:t xml:space="preserve">This Quotation Estimate document is confidential and intended solely for the named recipient. Unauthorized distribution is prohibited.</w:t>
      </w:r>
    </w:p>
    <w:p>
      <w:pPr>
        <w:pStyle w:val="BodyText"/>
      </w:pPr>
      <w:r>
        <w:t xml:space="preserve">Document Ref: QTE-2025-TLV-0487 | Generated: June 12,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Services - Israel Tel Aviv</dc:title>
  <dc:creator/>
  <dc:language>en</dc:language>
  <cp:keywords/>
  <dcterms:created xsi:type="dcterms:W3CDTF">2026-10-10T09:10:21Z</dcterms:created>
  <dcterms:modified xsi:type="dcterms:W3CDTF">2026-10-10T09:10:21Z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