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Laboratory</w:t>
      </w:r>
      <w:r>
        <w:t xml:space="preserve"> </w:t>
      </w:r>
      <w:r>
        <w:t xml:space="preserve">Technician</w:t>
      </w:r>
      <w:r>
        <w:t xml:space="preserve"> </w:t>
      </w:r>
      <w:r>
        <w:t xml:space="preserve">-</w:t>
      </w:r>
      <w:r>
        <w:t xml:space="preserve"> </w:t>
      </w:r>
      <w:r>
        <w:t xml:space="preserve">Russia</w:t>
      </w:r>
      <w:r>
        <w:t xml:space="preserve"> </w:t>
      </w:r>
      <w:r>
        <w:t xml:space="preserve">Moscow</w:t>
      </w:r>
    </w:p>
    <w:bookmarkStart w:id="20" w:name="quotation-estimate"/>
    <w:p>
      <w:pPr>
        <w:pStyle w:val="Heading1"/>
      </w:pPr>
      <w:r>
        <w:t xml:space="preserve">QUOTATION ESTIMATE</w:t>
      </w:r>
    </w:p>
    <w:p>
      <w:pPr>
        <w:pStyle w:val="FirstParagraph"/>
      </w:pPr>
      <w:r>
        <w:rPr>
          <w:bCs/>
          <w:b/>
        </w:rPr>
        <w:t xml:space="preserve">MedStaff International Recruitment LLC</w:t>
      </w:r>
    </w:p>
    <w:p>
      <w:pPr>
        <w:pStyle w:val="BodyText"/>
      </w:pPr>
      <w:r>
        <w:t xml:space="preserve">12 Tverskaya Street, Building 4, Moscow, 125009, Russia</w:t>
      </w:r>
    </w:p>
    <w:p>
      <w:pPr>
        <w:pStyle w:val="BodyText"/>
      </w:pPr>
      <w:r>
        <w:t xml:space="preserve">Tel: +7 (495) 123-4567 | Email: quotes@medstaff-intl.ru</w:t>
      </w:r>
    </w:p>
    <w:p>
      <w:pPr>
        <w:pStyle w:val="BodyText"/>
      </w:pPr>
      <w:r>
        <w:t xml:space="preserve">INN: 7710123456 | OGRN: 1157746001234</w:t>
      </w:r>
    </w:p>
    <w:bookmarkEnd w:id="20"/>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Quotation Estimate No.</w:t>
            </w:r>
          </w:p>
        </w:tc>
        <w:tc>
          <w:tcPr/>
          <w:p>
            <w:pPr>
              <w:pStyle w:val="Compact"/>
              <w:jc w:val="left"/>
            </w:pPr>
            <w:r>
              <w:t xml:space="preserve">QTE-2025-07842</w:t>
            </w:r>
          </w:p>
        </w:tc>
        <w:tc>
          <w:tcPr/>
          <w:p>
            <w:pPr>
              <w:pStyle w:val="Compact"/>
              <w:jc w:val="left"/>
            </w:pPr>
            <w:r>
              <w:t xml:space="preserve">Date of Issue</w:t>
            </w:r>
          </w:p>
        </w:tc>
        <w:tc>
          <w:tcPr/>
          <w:p>
            <w:pPr>
              <w:pStyle w:val="Compact"/>
              <w:jc w:val="left"/>
            </w:pPr>
            <w:r>
              <w:t xml:space="preserve">15 June 2025</w:t>
            </w:r>
          </w:p>
        </w:tc>
      </w:tr>
      <w:tr>
        <w:tc>
          <w:tcPr/>
          <w:p>
            <w:pPr>
              <w:pStyle w:val="Compact"/>
              <w:jc w:val="left"/>
            </w:pPr>
            <w:r>
              <w:t xml:space="preserve">Valid Until</w:t>
            </w:r>
          </w:p>
        </w:tc>
        <w:tc>
          <w:tcPr/>
          <w:p>
            <w:pPr>
              <w:pStyle w:val="Compact"/>
              <w:jc w:val="left"/>
            </w:pPr>
            <w:r>
              <w:t xml:space="preserve">15 July 2025</w:t>
            </w:r>
          </w:p>
        </w:tc>
        <w:tc>
          <w:tcPr/>
          <w:p>
            <w:pPr>
              <w:pStyle w:val="Compact"/>
              <w:jc w:val="left"/>
            </w:pPr>
            <w:r>
              <w:t xml:space="preserve">Prepared By</w:t>
            </w:r>
          </w:p>
        </w:tc>
        <w:tc>
          <w:tcPr/>
          <w:p>
            <w:pPr>
              <w:pStyle w:val="Compact"/>
              <w:jc w:val="left"/>
            </w:pPr>
            <w:r>
              <w:t xml:space="preserve">A. Volkov, Senior Account Manager</w:t>
            </w:r>
          </w:p>
        </w:tc>
      </w:tr>
      <w:tr>
        <w:tc>
          <w:tcPr/>
          <w:p>
            <w:pPr>
              <w:pStyle w:val="Compact"/>
              <w:jc w:val="left"/>
            </w:pPr>
            <w:r>
              <w:t xml:space="preserve">Client</w:t>
            </w:r>
          </w:p>
        </w:tc>
        <w:tc>
          <w:tcPr>
            <w:gridSpan w:val="3"/>
          </w:tcPr>
          <w:p>
            <w:pPr>
              <w:pStyle w:val="Compact"/>
              <w:jc w:val="left"/>
            </w:pPr>
            <w:r>
              <w:t xml:space="preserve">Federal Clinical Research Center, 25 Leningradsky Prospekt, Moscow, 125284, Russia</w:t>
            </w:r>
          </w:p>
        </w:tc>
      </w:tr>
    </w:tbl>
    <w:bookmarkStart w:id="21" w:name="purpose-of-this-quotation-estimate"/>
    <w:p>
      <w:pPr>
        <w:pStyle w:val="Heading2"/>
      </w:pPr>
      <w:r>
        <w:t xml:space="preserve">1. Purpose of This Quotation Estimate</w:t>
      </w:r>
    </w:p>
    <w:p>
      <w:pPr>
        <w:pStyle w:val="FirstParagraph"/>
      </w:pPr>
      <w:r>
        <w:t xml:space="preserve">This Quotation Estimate is issued by MedStaff International Recruitment LLC in response to the formal request submitted by the Federal Clinical Research Center for the recruitment, onboarding, and first-year employment of a qualified</w:t>
      </w:r>
      <w:r>
        <w:t xml:space="preserve"> </w:t>
      </w:r>
      <w:r>
        <w:rPr>
          <w:bCs/>
          <w:b/>
        </w:rPr>
        <w:t xml:space="preserve">Laboratory Technician</w:t>
      </w:r>
      <w:r>
        <w:t xml:space="preserve"> </w:t>
      </w:r>
      <w:r>
        <w:t xml:space="preserve">to be stationed at their primary facility in</w:t>
      </w:r>
      <w:r>
        <w:t xml:space="preserve"> </w:t>
      </w:r>
      <w:r>
        <w:rPr>
          <w:bCs/>
          <w:b/>
        </w:rPr>
        <w:t xml:space="preserve">Russia Moscow</w:t>
      </w:r>
      <w:r>
        <w:t xml:space="preserve">. This document outlines the full scope of services, associated costs, and contractual terms governing the engagement. All figures presented in this Quotation Estimate are denominated in Russian Rubles (RUB) unless otherwise specified and are subject to the standard terms and conditions detailed in Section 7.</w:t>
      </w:r>
    </w:p>
    <w:bookmarkEnd w:id="21"/>
    <w:bookmarkStart w:id="22" w:name="X783e0401fe10d924cb02538abf8578a54a68cc5"/>
    <w:p>
      <w:pPr>
        <w:pStyle w:val="Heading2"/>
      </w:pPr>
      <w:r>
        <w:t xml:space="preserve">2. Scope of Services – Laboratory Technician Position</w:t>
      </w:r>
    </w:p>
    <w:p>
      <w:pPr>
        <w:pStyle w:val="FirstParagraph"/>
      </w:pPr>
      <w:r>
        <w:t xml:space="preserve">The following services are included under this Quotation Estimate for the</w:t>
      </w:r>
      <w:r>
        <w:t xml:space="preserve"> </w:t>
      </w:r>
      <w:r>
        <w:rPr>
          <w:bCs/>
          <w:b/>
        </w:rPr>
        <w:t xml:space="preserve">Laboratory Technician</w:t>
      </w:r>
      <w:r>
        <w:t xml:space="preserve"> </w:t>
      </w:r>
      <w:r>
        <w:t xml:space="preserve">role in</w:t>
      </w:r>
      <w:r>
        <w:t xml:space="preserve"> </w:t>
      </w:r>
      <w:r>
        <w:rPr>
          <w:bCs/>
          <w:b/>
        </w:rPr>
        <w:t xml:space="preserve">Russia Moscow</w:t>
      </w:r>
      <w:r>
        <w:t xml:space="preserve">:</w:t>
      </w:r>
    </w:p>
    <w:p>
      <w:pPr>
        <w:numPr>
          <w:ilvl w:val="0"/>
          <w:numId w:val="1001"/>
        </w:numPr>
        <w:pStyle w:val="Compact"/>
      </w:pPr>
      <w:r>
        <w:rPr>
          <w:bCs/>
          <w:b/>
        </w:rPr>
        <w:t xml:space="preserve">Position Title:</w:t>
      </w:r>
      <w:r>
        <w:t xml:space="preserve"> </w:t>
      </w:r>
      <w:r>
        <w:t xml:space="preserve">Laboratory Technician (Grade II – Clinical Diagnostics)</w:t>
      </w:r>
    </w:p>
    <w:p>
      <w:pPr>
        <w:numPr>
          <w:ilvl w:val="0"/>
          <w:numId w:val="1001"/>
        </w:numPr>
        <w:pStyle w:val="Compact"/>
      </w:pPr>
      <w:r>
        <w:rPr>
          <w:bCs/>
          <w:b/>
        </w:rPr>
        <w:t xml:space="preserve">Work Location:</w:t>
      </w:r>
      <w:r>
        <w:t xml:space="preserve"> </w:t>
      </w:r>
      <w:r>
        <w:t xml:space="preserve">Federal Clinical Research Center, Moscow, Russia (on-site, Monday to Friday, 08:00–17:00)</w:t>
      </w:r>
    </w:p>
    <w:p>
      <w:pPr>
        <w:numPr>
          <w:ilvl w:val="0"/>
          <w:numId w:val="1001"/>
        </w:numPr>
        <w:pStyle w:val="Compact"/>
      </w:pPr>
      <w:r>
        <w:rPr>
          <w:bCs/>
          <w:b/>
        </w:rPr>
        <w:t xml:space="preserve">Contract Duration:</w:t>
      </w:r>
      <w:r>
        <w:t xml:space="preserve"> </w:t>
      </w:r>
      <w:r>
        <w:t xml:space="preserve">12 months (renewable by mutual written agreement)</w:t>
      </w:r>
    </w:p>
    <w:p>
      <w:pPr>
        <w:numPr>
          <w:ilvl w:val="0"/>
          <w:numId w:val="1001"/>
        </w:numPr>
        <w:pStyle w:val="Compact"/>
      </w:pPr>
      <w:r>
        <w:rPr>
          <w:bCs/>
          <w:b/>
        </w:rPr>
        <w:t xml:space="preserve">Responsibilities:</w:t>
      </w:r>
      <w:r>
        <w:t xml:space="preserve"> </w:t>
      </w:r>
      <w:r>
        <w:t xml:space="preserve">The Laboratory Technician will be responsible for the preparation, execution, and documentation of clinical laboratory tests including hematology, biochemistry, immunology, and microbiology panels. The role requires strict adherence to Russian Federal Law No. 323-FZ "On the Protection of the Health of Citizens in the Russian Federation" and all applicable GOST laboratory standards.</w:t>
      </w:r>
    </w:p>
    <w:p>
      <w:pPr>
        <w:numPr>
          <w:ilvl w:val="0"/>
          <w:numId w:val="1001"/>
        </w:numPr>
        <w:pStyle w:val="Compact"/>
      </w:pPr>
      <w:r>
        <w:rPr>
          <w:bCs/>
          <w:b/>
        </w:rPr>
        <w:t xml:space="preserve">Qualifications Required:</w:t>
      </w:r>
      <w:r>
        <w:t xml:space="preserve"> </w:t>
      </w:r>
      <w:r>
        <w:t xml:space="preserve">Secondary specialized medical education in laboratory diagnostics (minimum 3 years of practical experience in a clinical laboratory setting in Russia or an equivalent recognized jurisdiction). Valid certification from the Russian Ministry of Health for laboratory personnel.</w:t>
      </w:r>
    </w:p>
    <w:p>
      <w:pPr>
        <w:numPr>
          <w:ilvl w:val="0"/>
          <w:numId w:val="1001"/>
        </w:numPr>
        <w:pStyle w:val="Compact"/>
      </w:pPr>
      <w:r>
        <w:rPr>
          <w:bCs/>
          <w:b/>
        </w:rPr>
        <w:t xml:space="preserve">Recruitment Services:</w:t>
      </w:r>
      <w:r>
        <w:t xml:space="preserve"> </w:t>
      </w:r>
      <w:r>
        <w:t xml:space="preserve">Sourcing, screening, interviewing, background verification, medical fitness assessment, and final candidate selection for the Laboratory Technician position.</w:t>
      </w:r>
    </w:p>
    <w:p>
      <w:pPr>
        <w:numPr>
          <w:ilvl w:val="0"/>
          <w:numId w:val="1001"/>
        </w:numPr>
        <w:pStyle w:val="Compact"/>
      </w:pPr>
      <w:r>
        <w:rPr>
          <w:bCs/>
          <w:b/>
        </w:rPr>
        <w:t xml:space="preserve">Onboarding Support:</w:t>
      </w:r>
      <w:r>
        <w:t xml:space="preserve"> </w:t>
      </w:r>
      <w:r>
        <w:t xml:space="preserve">Assistance with work permit documentation (if applicable), registration with the Moscow City Employment Service, orientation to laboratory safety protocols, and integration into the existing clinical team in Russia Moscow.</w:t>
      </w:r>
    </w:p>
    <w:p>
      <w:pPr>
        <w:numPr>
          <w:ilvl w:val="0"/>
          <w:numId w:val="1001"/>
        </w:numPr>
        <w:pStyle w:val="Compact"/>
      </w:pPr>
      <w:r>
        <w:rPr>
          <w:bCs/>
          <w:b/>
        </w:rPr>
        <w:t xml:space="preserve">First-Year HR Administration:</w:t>
      </w:r>
      <w:r>
        <w:t xml:space="preserve"> </w:t>
      </w:r>
      <w:r>
        <w:t xml:space="preserve">Payroll processing, social insurance contributions (pension, medical, and social funds), annual leave scheduling, and compliance reporting to the Federal Tax Service of Russia.</w:t>
      </w:r>
    </w:p>
    <w:bookmarkEnd w:id="22"/>
    <w:bookmarkStart w:id="23" w:name="cost-breakdown"/>
    <w:p>
      <w:pPr>
        <w:pStyle w:val="Heading2"/>
      </w:pPr>
      <w:r>
        <w:t xml:space="preserve">3. Cost Breakdown</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w:t>
            </w:r>
          </w:p>
        </w:tc>
        <w:tc>
          <w:tcPr/>
          <w:p>
            <w:pPr>
              <w:pStyle w:val="Compact"/>
              <w:jc w:val="left"/>
            </w:pPr>
            <w:r>
              <w:t xml:space="preserve">Service Item</w:t>
            </w:r>
          </w:p>
        </w:tc>
        <w:tc>
          <w:tcPr/>
          <w:p>
            <w:pPr>
              <w:pStyle w:val="Compact"/>
              <w:jc w:val="left"/>
            </w:pPr>
            <w:r>
              <w:t xml:space="preserve">Description</w:t>
            </w:r>
          </w:p>
        </w:tc>
        <w:tc>
          <w:tcPr/>
          <w:p>
            <w:pPr>
              <w:pStyle w:val="Compact"/>
              <w:jc w:val="left"/>
            </w:pPr>
            <w:r>
              <w:t xml:space="preserve">Amount (RUB)</w:t>
            </w:r>
          </w:p>
        </w:tc>
      </w:tr>
      <w:tr>
        <w:tc>
          <w:tcPr/>
          <w:p>
            <w:pPr>
              <w:pStyle w:val="Compact"/>
              <w:jc w:val="left"/>
            </w:pPr>
            <w:r>
              <w:t xml:space="preserve">1</w:t>
            </w:r>
          </w:p>
        </w:tc>
        <w:tc>
          <w:tcPr/>
          <w:p>
            <w:pPr>
              <w:pStyle w:val="Compact"/>
              <w:jc w:val="left"/>
            </w:pPr>
            <w:r>
              <w:t xml:space="preserve">Recruitment &amp; Sourcing Fee</w:t>
            </w:r>
          </w:p>
        </w:tc>
        <w:tc>
          <w:tcPr/>
          <w:p>
            <w:pPr>
              <w:pStyle w:val="Compact"/>
              <w:jc w:val="left"/>
            </w:pPr>
            <w:r>
              <w:t xml:space="preserve">End-to-end recruitment of the Laboratory Technician in Russia Moscow</w:t>
            </w:r>
          </w:p>
        </w:tc>
        <w:tc>
          <w:tcPr/>
          <w:p>
            <w:pPr>
              <w:pStyle w:val="Compact"/>
              <w:jc w:val="left"/>
            </w:pPr>
            <w:r>
              <w:t xml:space="preserve">185,000.00</w:t>
            </w:r>
          </w:p>
        </w:tc>
      </w:tr>
      <w:tr>
        <w:tc>
          <w:tcPr/>
          <w:p>
            <w:pPr>
              <w:pStyle w:val="Compact"/>
              <w:jc w:val="left"/>
            </w:pPr>
            <w:r>
              <w:t xml:space="preserve">2</w:t>
            </w:r>
          </w:p>
        </w:tc>
        <w:tc>
          <w:tcPr/>
          <w:p>
            <w:pPr>
              <w:pStyle w:val="Compact"/>
              <w:jc w:val="left"/>
            </w:pPr>
            <w:r>
              <w:t xml:space="preserve">Background &amp; Credential Verification</w:t>
            </w:r>
          </w:p>
        </w:tc>
        <w:tc>
          <w:tcPr/>
          <w:p>
            <w:pPr>
              <w:pStyle w:val="Compact"/>
              <w:jc w:val="left"/>
            </w:pPr>
            <w:r>
              <w:t xml:space="preserve">Verification of academic certificates, prior employment, and Ministry of Health registration</w:t>
            </w:r>
          </w:p>
        </w:tc>
        <w:tc>
          <w:tcPr/>
          <w:p>
            <w:pPr>
              <w:pStyle w:val="Compact"/>
              <w:jc w:val="left"/>
            </w:pPr>
            <w:r>
              <w:t xml:space="preserve">42,000.00</w:t>
            </w:r>
          </w:p>
        </w:tc>
      </w:tr>
      <w:tr>
        <w:tc>
          <w:tcPr/>
          <w:p>
            <w:pPr>
              <w:pStyle w:val="Compact"/>
              <w:jc w:val="left"/>
            </w:pPr>
            <w:r>
              <w:t xml:space="preserve">3</w:t>
            </w:r>
          </w:p>
        </w:tc>
        <w:tc>
          <w:tcPr/>
          <w:p>
            <w:pPr>
              <w:pStyle w:val="Compact"/>
              <w:jc w:val="left"/>
            </w:pPr>
            <w:r>
              <w:t xml:space="preserve">Onboarding &amp; Compliance Setup</w:t>
            </w:r>
          </w:p>
        </w:tc>
        <w:tc>
          <w:tcPr/>
          <w:p>
            <w:pPr>
              <w:pStyle w:val="Compact"/>
              <w:jc w:val="left"/>
            </w:pPr>
            <w:r>
              <w:t xml:space="preserve">Work registration, labor contract drafting, safety training coordination</w:t>
            </w:r>
          </w:p>
        </w:tc>
        <w:tc>
          <w:tcPr/>
          <w:p>
            <w:pPr>
              <w:pStyle w:val="Compact"/>
              <w:jc w:val="left"/>
            </w:pPr>
            <w:r>
              <w:t xml:space="preserve">38,500.00</w:t>
            </w:r>
          </w:p>
        </w:tc>
      </w:tr>
      <w:tr>
        <w:tc>
          <w:tcPr/>
          <w:p>
            <w:pPr>
              <w:pStyle w:val="Compact"/>
              <w:jc w:val="left"/>
            </w:pPr>
            <w:r>
              <w:t xml:space="preserve">4</w:t>
            </w:r>
          </w:p>
        </w:tc>
        <w:tc>
          <w:tcPr/>
          <w:p>
            <w:pPr>
              <w:pStyle w:val="Compact"/>
              <w:jc w:val="left"/>
            </w:pPr>
            <w:r>
              <w:t xml:space="preserve">Monthly HR Administration (×12)</w:t>
            </w:r>
          </w:p>
        </w:tc>
        <w:tc>
          <w:tcPr/>
          <w:p>
            <w:pPr>
              <w:pStyle w:val="Compact"/>
              <w:jc w:val="left"/>
            </w:pPr>
            <w:r>
              <w:t xml:space="preserve">Payroll, social contributions, tax filings, leave management for the Laboratory Technician</w:t>
            </w:r>
          </w:p>
        </w:tc>
        <w:tc>
          <w:tcPr/>
          <w:p>
            <w:pPr>
              <w:pStyle w:val="Compact"/>
              <w:jc w:val="left"/>
            </w:pPr>
            <w:r>
              <w:t xml:space="preserve">216,000.00</w:t>
            </w:r>
          </w:p>
        </w:tc>
      </w:tr>
      <w:tr>
        <w:tc>
          <w:tcPr/>
          <w:p>
            <w:pPr>
              <w:pStyle w:val="Compact"/>
              <w:jc w:val="left"/>
            </w:pPr>
            <w:r>
              <w:t xml:space="preserve">5</w:t>
            </w:r>
          </w:p>
        </w:tc>
        <w:tc>
          <w:tcPr/>
          <w:p>
            <w:pPr>
              <w:pStyle w:val="Compact"/>
              <w:jc w:val="left"/>
            </w:pPr>
            <w:r>
              <w:t xml:space="preserve">Annual Compliance Audit</w:t>
            </w:r>
          </w:p>
        </w:tc>
        <w:tc>
          <w:tcPr/>
          <w:p>
            <w:pPr>
              <w:pStyle w:val="Compact"/>
              <w:jc w:val="left"/>
            </w:pPr>
            <w:r>
              <w:t xml:space="preserve">Year-end review of labor law compliance specific to laboratory personnel in Russia Moscow</w:t>
            </w:r>
          </w:p>
        </w:tc>
        <w:tc>
          <w:tcPr/>
          <w:p>
            <w:pPr>
              <w:pStyle w:val="Compact"/>
              <w:jc w:val="left"/>
            </w:pPr>
            <w:r>
              <w:t xml:space="preserve">55,000.00</w:t>
            </w:r>
          </w:p>
        </w:tc>
      </w:tr>
      <w:tr>
        <w:tc>
          <w:tcPr/>
          <w:p>
            <w:pPr>
              <w:pStyle w:val="Compact"/>
              <w:jc w:val="left"/>
            </w:pPr>
            <w:r>
              <w:t xml:space="preserve">6</w:t>
            </w:r>
          </w:p>
        </w:tc>
        <w:tc>
          <w:tcPr/>
          <w:p>
            <w:pPr>
              <w:pStyle w:val="Compact"/>
              <w:jc w:val="left"/>
            </w:pPr>
            <w:r>
              <w:t xml:space="preserve">Contingency &amp; Administrative Surcharge</w:t>
            </w:r>
          </w:p>
        </w:tc>
        <w:tc>
          <w:tcPr/>
          <w:p>
            <w:pPr>
              <w:pStyle w:val="Compact"/>
              <w:jc w:val="left"/>
            </w:pPr>
            <w:r>
              <w:t xml:space="preserve">Covers unforeseen regulatory changes, document re-issuance, and administrative overhead</w:t>
            </w:r>
          </w:p>
        </w:tc>
        <w:tc>
          <w:tcPr/>
          <w:p>
            <w:pPr>
              <w:pStyle w:val="Compact"/>
              <w:jc w:val="left"/>
            </w:pPr>
            <w:r>
              <w:t xml:space="preserve">28,000.00</w:t>
            </w:r>
          </w:p>
        </w:tc>
      </w:tr>
      <w:tr>
        <w:tc>
          <w:tcPr>
            <w:gridSpan w:val="3"/>
          </w:tcPr>
          <w:p>
            <w:pPr>
              <w:pStyle w:val="Compact"/>
              <w:jc w:val="left"/>
            </w:pPr>
            <w:r>
              <w:rPr>
                <w:bCs/>
                <w:b/>
              </w:rPr>
              <w:t xml:space="preserve">TOTAL QUOTATION ESTIMATE AMOUNT (excl. VAT)</w:t>
            </w:r>
          </w:p>
        </w:tc>
        <w:tc>
          <w:tcPr/>
          <w:p>
            <w:pPr>
              <w:pStyle w:val="Compact"/>
              <w:jc w:val="left"/>
            </w:pPr>
            <w:r>
              <w:rPr>
                <w:bCs/>
                <w:b/>
              </w:rPr>
              <w:t xml:space="preserve">564,500.00</w:t>
            </w:r>
          </w:p>
        </w:tc>
      </w:tr>
      <w:tr>
        <w:tc>
          <w:tcPr>
            <w:gridSpan w:val="3"/>
          </w:tcPr>
          <w:p>
            <w:pPr>
              <w:pStyle w:val="Compact"/>
              <w:jc w:val="left"/>
            </w:pPr>
            <w:r>
              <w:rPr>
                <w:bCs/>
                <w:b/>
              </w:rPr>
              <w:t xml:space="preserve">VAT (20%)</w:t>
            </w:r>
          </w:p>
        </w:tc>
        <w:tc>
          <w:tcPr/>
          <w:p>
            <w:pPr>
              <w:pStyle w:val="Compact"/>
              <w:jc w:val="left"/>
            </w:pPr>
            <w:r>
              <w:rPr>
                <w:bCs/>
                <w:b/>
              </w:rPr>
              <w:t xml:space="preserve">112,900.00</w:t>
            </w:r>
          </w:p>
        </w:tc>
      </w:tr>
      <w:tr>
        <w:tc>
          <w:tcPr>
            <w:gridSpan w:val="3"/>
          </w:tcPr>
          <w:p>
            <w:pPr>
              <w:pStyle w:val="Compact"/>
              <w:jc w:val="left"/>
            </w:pPr>
            <w:r>
              <w:rPr>
                <w:bCs/>
                <w:b/>
              </w:rPr>
              <w:t xml:space="preserve">GRAND TOTAL (incl. VAT)</w:t>
            </w:r>
          </w:p>
        </w:tc>
        <w:tc>
          <w:tcPr/>
          <w:p>
            <w:pPr>
              <w:pStyle w:val="Compact"/>
              <w:jc w:val="left"/>
            </w:pPr>
            <w:r>
              <w:rPr>
                <w:bCs/>
                <w:b/>
              </w:rPr>
              <w:t xml:space="preserve">677,400.00</w:t>
            </w:r>
          </w:p>
        </w:tc>
      </w:tr>
    </w:tbl>
    <w:bookmarkEnd w:id="23"/>
    <w:bookmarkStart w:id="24" w:name="payment-terms"/>
    <w:p>
      <w:pPr>
        <w:pStyle w:val="Heading2"/>
      </w:pPr>
      <w:r>
        <w:t xml:space="preserve">4. Payment Terms</w:t>
      </w:r>
    </w:p>
    <w:p>
      <w:pPr>
        <w:pStyle w:val="FirstParagraph"/>
      </w:pPr>
      <w:r>
        <w:t xml:space="preserve">Payment for this Quotation Estimate shall be made in three installments as follows:</w:t>
      </w:r>
    </w:p>
    <w:p>
      <w:pPr>
        <w:numPr>
          <w:ilvl w:val="0"/>
          <w:numId w:val="1002"/>
        </w:numPr>
        <w:pStyle w:val="Compact"/>
      </w:pPr>
      <w:r>
        <w:rPr>
          <w:bCs/>
          <w:b/>
        </w:rPr>
        <w:t xml:space="preserve">40% (270,960.00 RUB)</w:t>
      </w:r>
      <w:r>
        <w:t xml:space="preserve"> </w:t>
      </w:r>
      <w:r>
        <w:t xml:space="preserve">– due within 10 business days of signed acceptance of this Quotation Estimate.</w:t>
      </w:r>
    </w:p>
    <w:p>
      <w:pPr>
        <w:numPr>
          <w:ilvl w:val="0"/>
          <w:numId w:val="1002"/>
        </w:numPr>
        <w:pStyle w:val="Compact"/>
      </w:pPr>
      <w:r>
        <w:rPr>
          <w:bCs/>
          <w:b/>
        </w:rPr>
        <w:t xml:space="preserve">35% (237,090.00 RUB)</w:t>
      </w:r>
      <w:r>
        <w:t xml:space="preserve"> </w:t>
      </w:r>
      <w:r>
        <w:t xml:space="preserve">– due upon successful onboarding and first day of active employment of the Laboratory Technician.</w:t>
      </w:r>
    </w:p>
    <w:p>
      <w:pPr>
        <w:numPr>
          <w:ilvl w:val="0"/>
          <w:numId w:val="1002"/>
        </w:numPr>
        <w:pStyle w:val="Compact"/>
      </w:pPr>
      <w:r>
        <w:rPr>
          <w:bCs/>
          <w:b/>
        </w:rPr>
        <w:t xml:space="preserve">25% (169,350.00 RUB)</w:t>
      </w:r>
      <w:r>
        <w:t xml:space="preserve"> </w:t>
      </w:r>
      <w:r>
        <w:t xml:space="preserve">– due within 15 business days following the completion of the 12-month contract term and submission of the final compliance report.</w:t>
      </w:r>
    </w:p>
    <w:p>
      <w:pPr>
        <w:pStyle w:val="FirstParagraph"/>
      </w:pPr>
      <w:r>
        <w:t xml:space="preserve">All payments shall be transferred via bank wire to the account of MedStaff International Recruitment LLC, Sberbank, Moscow Branch, Account No. 40702810400000012345, BIC: SABRRUMM. Late payments shall accrue interest at 0.1% per calendar day in accordance with Article 317.1 of the Civil Code of the Russian Federation.</w:t>
      </w:r>
    </w:p>
    <w:bookmarkEnd w:id="24"/>
    <w:bookmarkStart w:id="25" w:name="validity-acceptance"/>
    <w:p>
      <w:pPr>
        <w:pStyle w:val="Heading2"/>
      </w:pPr>
      <w:r>
        <w:t xml:space="preserve">5. Validity &amp; Acceptance</w:t>
      </w:r>
    </w:p>
    <w:p>
      <w:pPr>
        <w:pStyle w:val="FirstParagraph"/>
      </w:pPr>
      <w:r>
        <w:t xml:space="preserve">This Quotation Estimate is valid for a period of thirty (30) calendar days from the date of issue. Acceptance of this Quotation Estimate constitutes a binding agreement between the parties for the recruitment and first-year employment of the Laboratory Technician in Russia Moscow as described herein. Any modifications to scope, timeline, or cost must be documented in a written addendum signed by both parties.</w:t>
      </w:r>
    </w:p>
    <w:bookmarkEnd w:id="25"/>
    <w:bookmarkStart w:id="26" w:name="confidentiality-data-protection"/>
    <w:p>
      <w:pPr>
        <w:pStyle w:val="Heading2"/>
      </w:pPr>
      <w:r>
        <w:t xml:space="preserve">6. Confidentiality &amp; Data Protection</w:t>
      </w:r>
    </w:p>
    <w:p>
      <w:pPr>
        <w:pStyle w:val="FirstParagraph"/>
      </w:pPr>
      <w:r>
        <w:t xml:space="preserve">All personal data of the candidate and client information exchanged during the execution of this Quotation Estimate shall be handled in strict compliance with Federal Law No. 152-FZ "On Personal Data." Neither party shall disclose the terms of this engagement to third parties without prior written consent.</w:t>
      </w:r>
    </w:p>
    <w:bookmarkEnd w:id="26"/>
    <w:bookmarkStart w:id="27" w:name="general-terms-conditions"/>
    <w:p>
      <w:pPr>
        <w:pStyle w:val="Heading2"/>
      </w:pPr>
      <w:r>
        <w:t xml:space="preserve">7. General Terms &amp; Conditions</w:t>
      </w:r>
    </w:p>
    <w:p>
      <w:pPr>
        <w:pStyle w:val="FirstParagraph"/>
      </w:pPr>
      <w:r>
        <w:t xml:space="preserve">This Quotation Estimate is governed by the laws of the Russian Federation. Any disputes arising from or in connection with this document shall be resolved through negotiation, and failing that, by the Arbitration Court of the City of Moscow. The Quotation Estimate does not constitute a guarantee of placement; however, MedStaff International Recruitment LLC commits to providing a replacement candidate at no additional recruitment fee should the initial Laboratory Technician candidate resign or be terminated for cause within the first 90 days of employment.</w:t>
      </w:r>
    </w:p>
    <w:p>
      <w:pPr>
        <w:pStyle w:val="BodyText"/>
      </w:pPr>
      <w:r>
        <w:rPr>
          <w:bCs/>
          <w:b/>
        </w:rPr>
        <w:t xml:space="preserve">For and on behalf of MedStaff International Recruitment LLC</w:t>
      </w:r>
    </w:p>
    <w:p>
      <w:pPr>
        <w:pStyle w:val="BodyText"/>
      </w:pPr>
      <w:r>
        <w:t xml:space="preserve">Name: A. Volkov</w:t>
      </w:r>
    </w:p>
    <w:p>
      <w:pPr>
        <w:pStyle w:val="BodyText"/>
      </w:pPr>
      <w:r>
        <w:t xml:space="preserve">Title: Senior Account Manager</w:t>
      </w:r>
    </w:p>
    <w:p>
      <w:pPr>
        <w:pStyle w:val="BodyText"/>
      </w:pPr>
      <w:r>
        <w:t xml:space="preserve">Signature: _________________________</w:t>
      </w:r>
    </w:p>
    <w:p>
      <w:pPr>
        <w:pStyle w:val="BodyText"/>
      </w:pPr>
      <w:r>
        <w:t xml:space="preserve">Date: _________________________</w:t>
      </w:r>
    </w:p>
    <w:p>
      <w:pPr>
        <w:pStyle w:val="BodyText"/>
      </w:pPr>
      <w:r>
        <w:rPr>
          <w:bCs/>
          <w:b/>
        </w:rPr>
        <w:t xml:space="preserve">Accepted by – Federal Clinical Research Center</w:t>
      </w:r>
    </w:p>
    <w:p>
      <w:pPr>
        <w:pStyle w:val="BodyText"/>
      </w:pPr>
      <w:r>
        <w:t xml:space="preserve">Name: _________________________</w:t>
      </w:r>
    </w:p>
    <w:p>
      <w:pPr>
        <w:pStyle w:val="BodyText"/>
      </w:pPr>
      <w:r>
        <w:t xml:space="preserve">Title: _________________________</w:t>
      </w:r>
    </w:p>
    <w:p>
      <w:pPr>
        <w:pStyle w:val="BodyText"/>
      </w:pPr>
      <w:r>
        <w:t xml:space="preserve">Signature: _________________________</w:t>
      </w:r>
    </w:p>
    <w:p>
      <w:pPr>
        <w:pStyle w:val="BodyText"/>
      </w:pPr>
      <w:r>
        <w:t xml:space="preserve">Date: _________________________</w:t>
      </w:r>
    </w:p>
    <w:p>
      <w:pPr>
        <w:pStyle w:val="BodyText"/>
      </w:pPr>
      <w:r>
        <w:t xml:space="preserve">— End of Quotation Estimate QTE-2025-07842 —</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Laboratory Technician - Russia Moscow</dc:title>
  <dc:creator/>
  <dc:language>en</dc:language>
  <cp:keywords/>
  <dcterms:created xsi:type="dcterms:W3CDTF">2026-10-10T06:18:59Z</dcterms:created>
  <dcterms:modified xsi:type="dcterms:W3CDTF">2026-10-10T06:18:59Z</dcterms:modified>
</cp:coreProperties>
</file>

<file path=docProps/custom.xml><?xml version="1.0" encoding="utf-8"?>
<Properties xmlns="http://schemas.openxmlformats.org/officeDocument/2006/custom-properties" xmlns:vt="http://schemas.openxmlformats.org/officeDocument/2006/docPropsVTypes"/>
</file>