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Legal Services — Attorney at Law — Rio de Janeiro, Brazil</w:t>
      </w:r>
    </w:p>
    <w:bookmarkEnd w:id="20"/>
    <w:bookmarkStart w:id="21" w:name="law-firm-lawyer-information"/>
    <w:p>
      <w:pPr>
        <w:pStyle w:val="Heading3"/>
      </w:pPr>
      <w:r>
        <w:t xml:space="preserve">Law Firm / Lawyer Information</w:t>
      </w:r>
    </w:p>
    <w:p>
      <w:pPr>
        <w:pStyle w:val="FirstParagraph"/>
      </w:pPr>
      <w:r>
        <w:rPr>
          <w:bCs/>
          <w:b/>
        </w:rPr>
        <w:t xml:space="preserve">Dr. Ricardo Almeida Santos</w:t>
      </w:r>
      <w:r>
        <w:br/>
      </w:r>
      <w:r>
        <w:t xml:space="preserve">Attorney at Law — OAB/RJ No. 184.729</w:t>
      </w:r>
      <w:r>
        <w:br/>
      </w:r>
      <w:r>
        <w:t xml:space="preserve">Santos &amp; Almeida Advocacia</w:t>
      </w:r>
      <w:r>
        <w:br/>
      </w:r>
      <w:r>
        <w:t xml:space="preserve">Av. Rio Branco, 1200, Sala 812</w:t>
      </w:r>
      <w:r>
        <w:br/>
      </w:r>
      <w:r>
        <w:t xml:space="preserve">Centro, Rio de Janeiro — RJ</w:t>
      </w:r>
      <w:r>
        <w:br/>
      </w:r>
      <w:r>
        <w:t xml:space="preserve">CEP: 20040-001, Brazil</w:t>
      </w:r>
      <w:r>
        <w:br/>
      </w:r>
      <w:r>
        <w:t xml:space="preserve">Tel: +55 (21) 3255-8800</w:t>
      </w:r>
      <w:r>
        <w:br/>
      </w:r>
      <w:r>
        <w:t xml:space="preserve">Email: contato@santosalmeida.adv.br</w:t>
      </w:r>
    </w:p>
    <w:bookmarkEnd w:id="21"/>
    <w:bookmarkStart w:id="22" w:name="client-information"/>
    <w:p>
      <w:pPr>
        <w:pStyle w:val="Heading3"/>
      </w:pPr>
      <w:r>
        <w:t xml:space="preserve">Client Information</w:t>
      </w:r>
    </w:p>
    <w:p>
      <w:pPr>
        <w:pStyle w:val="FirstParagraph"/>
      </w:pPr>
      <w:r>
        <w:rPr>
          <w:bCs/>
          <w:b/>
        </w:rPr>
        <w:t xml:space="preserve">Mr. / Ms. [Client Full Name]</w:t>
      </w:r>
      <w:r>
        <w:br/>
      </w:r>
      <w:r>
        <w:t xml:space="preserve">CPF/CNPJ: [To be provided]</w:t>
      </w:r>
      <w:r>
        <w:br/>
      </w:r>
      <w:r>
        <w:t xml:space="preserve">[Client Address]</w:t>
      </w:r>
      <w:r>
        <w:br/>
      </w:r>
      <w:r>
        <w:t xml:space="preserve">Rio de Janeiro — RJ</w:t>
      </w:r>
      <w:r>
        <w:br/>
      </w:r>
      <w:r>
        <w:t xml:space="preserve">CEP: [To be provided], Brazil</w:t>
      </w:r>
      <w:r>
        <w:br/>
      </w:r>
      <w:r>
        <w:t xml:space="preserve">Tel: +55 (21) [To be provided]</w:t>
      </w:r>
      <w:r>
        <w:br/>
      </w:r>
      <w:r>
        <w:t xml:space="preserve">Email: [To be provided]</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QE-2025-00487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calendar days from issue date</w:t>
            </w:r>
          </w:p>
        </w:tc>
        <w:tc>
          <w:tcPr/>
          <w:p>
            <w:pPr>
              <w:pStyle w:val="Compact"/>
              <w:jc w:val="left"/>
            </w:pPr>
            <w:r>
              <w:t xml:space="preserve">Service Location:</w:t>
            </w:r>
          </w:p>
        </w:tc>
        <w:tc>
          <w:tcPr/>
          <w:p>
            <w:pPr>
              <w:pStyle w:val="Compact"/>
              <w:jc w:val="left"/>
            </w:pPr>
            <w:r>
              <w:t xml:space="preserve">Rio de Janeiro, Brazil</w:t>
            </w:r>
          </w:p>
        </w:tc>
      </w:tr>
      <w:tr>
        <w:tc>
          <w:tcPr/>
          <w:p>
            <w:pPr>
              <w:pStyle w:val="Compact"/>
              <w:jc w:val="left"/>
            </w:pPr>
            <w:r>
              <w:t xml:space="preserve">Applicable Jurisdiction:</w:t>
            </w:r>
          </w:p>
        </w:tc>
        <w:tc>
          <w:tcPr/>
          <w:p>
            <w:pPr>
              <w:pStyle w:val="Compact"/>
              <w:jc w:val="left"/>
            </w:pPr>
            <w:r>
              <w:t xml:space="preserve">State of Rio de Janeiro, Federal Republic of Brazil</w:t>
            </w:r>
          </w:p>
        </w:tc>
        <w:tc>
          <w:tcPr/>
          <w:p>
            <w:pPr>
              <w:pStyle w:val="Compact"/>
              <w:jc w:val="left"/>
            </w:pPr>
            <w:r>
              <w:t xml:space="preserve">Currency:</w:t>
            </w:r>
          </w:p>
        </w:tc>
        <w:tc>
          <w:tcPr/>
          <w:p>
            <w:pPr>
              <w:pStyle w:val="Compact"/>
              <w:jc w:val="left"/>
            </w:pPr>
            <w:r>
              <w:t xml:space="preserve">Brazilian Real (BRL / R$)</w:t>
            </w:r>
          </w:p>
        </w:tc>
      </w:tr>
    </w:tbl>
    <w:bookmarkStart w:id="23" w:name="X0c7581080508d578c26b6d8dfd726c7e3ca5cc9"/>
    <w:p>
      <w:pPr>
        <w:pStyle w:val="Heading2"/>
      </w:pPr>
      <w:r>
        <w:t xml:space="preserve">1. Purpose and Scope of This Quotation Estimate</w:t>
      </w:r>
    </w:p>
    <w:p>
      <w:pPr>
        <w:pStyle w:val="FirstParagraph"/>
      </w:pPr>
      <w:r>
        <w:t xml:space="preserve">This Quotation Estimate is issued by the undersigned Lawyer, Dr. Ricardo Almeida Santos, a duly registered attorney with the Ordem dos Advogados do Brasil (OAB) — Seccional Rio de Janeiro — to formally present the estimated costs, professional fees, and associated expenses for the provision of comprehensive legal services to the Client. This document constitutes a non-binding Quotation Estimate and does not, by itself, create a contractual obligation between the parties. The final engagement shall be governed by a separate Retainer Agreement or Contract of Legal Services executed in accordance with the Brazilian Civil Code (Código Civil, Lei nº 10.406/2002) and the Brazilian Statute of Advocacy (Estatuto da Advocacia, Lei nº 8.906/1994).</w:t>
      </w:r>
    </w:p>
    <w:p>
      <w:pPr>
        <w:pStyle w:val="BodyText"/>
      </w:pPr>
      <w:r>
        <w:t xml:space="preserve">The legal services contemplated herein are to be rendered exclusively within the jurisdiction of the city of Rio de Janeiro, State of Rio de Janeiro, Brazil, and shall comply with all applicable federal, state, and municipal regulations governing the practice of law in Brazil.</w:t>
      </w:r>
    </w:p>
    <w:bookmarkEnd w:id="23"/>
    <w:bookmarkStart w:id="24" w:name="X1dddd1c0d2d8bf03d19995d3aad5fada9462c3f"/>
    <w:p>
      <w:pPr>
        <w:pStyle w:val="Heading2"/>
      </w:pPr>
      <w:r>
        <w:t xml:space="preserve">2. Itemized Breakdown of Legal Services and Fees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Lawyer Service</w:t>
            </w:r>
          </w:p>
        </w:tc>
        <w:tc>
          <w:tcPr/>
          <w:p>
            <w:pPr>
              <w:pStyle w:val="Compact"/>
              <w:jc w:val="left"/>
            </w:pPr>
            <w:r>
              <w:t xml:space="preserve">Estimated Hours</w:t>
            </w:r>
          </w:p>
        </w:tc>
        <w:tc>
          <w:tcPr/>
          <w:p>
            <w:pPr>
              <w:pStyle w:val="Compact"/>
              <w:jc w:val="left"/>
            </w:pPr>
            <w:r>
              <w:t xml:space="preserve">Hourly Rate (BRL)</w:t>
            </w:r>
          </w:p>
        </w:tc>
        <w:tc>
          <w:tcPr/>
          <w:p>
            <w:pPr>
              <w:pStyle w:val="Compact"/>
              <w:jc w:val="left"/>
            </w:pPr>
            <w:r>
              <w:t xml:space="preserve">Subtotal (BRL)</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Initial legal consultation and case assessment at the firm's offices in Rio de Janeiro, including review of all relevant documents, contracts, and evidence pertaining to the matter.</w:t>
            </w:r>
          </w:p>
        </w:tc>
        <w:tc>
          <w:tcPr/>
          <w:p>
            <w:pPr>
              <w:pStyle w:val="Compact"/>
              <w:jc w:val="left"/>
            </w:pPr>
            <w:r>
              <w:t xml:space="preserve">3 hours</w:t>
            </w:r>
          </w:p>
        </w:tc>
        <w:tc>
          <w:tcPr/>
          <w:p>
            <w:pPr>
              <w:pStyle w:val="Compact"/>
              <w:jc w:val="left"/>
            </w:pPr>
            <w:r>
              <w:t xml:space="preserve">R$ 850,00</w:t>
            </w:r>
          </w:p>
        </w:tc>
        <w:tc>
          <w:tcPr/>
          <w:p>
            <w:pPr>
              <w:pStyle w:val="Compact"/>
              <w:jc w:val="left"/>
            </w:pPr>
            <w:r>
              <w:t xml:space="preserve">R$ 2.550,00</w:t>
            </w:r>
          </w:p>
        </w:tc>
        <w:tc>
          <w:tcPr/>
          <w:p>
            <w:pPr>
              <w:pStyle w:val="Compact"/>
              <w:jc w:val="left"/>
            </w:pPr>
            <w:r>
              <w:t xml:space="preserve">One-time fee</w:t>
            </w:r>
          </w:p>
        </w:tc>
      </w:tr>
      <w:tr>
        <w:tc>
          <w:tcPr/>
          <w:p>
            <w:pPr>
              <w:pStyle w:val="Compact"/>
              <w:jc w:val="left"/>
            </w:pPr>
            <w:r>
              <w:t xml:space="preserve">02</w:t>
            </w:r>
          </w:p>
        </w:tc>
        <w:tc>
          <w:tcPr/>
          <w:p>
            <w:pPr>
              <w:pStyle w:val="Compact"/>
              <w:jc w:val="left"/>
            </w:pPr>
            <w:r>
              <w:t xml:space="preserve">Drafting and filing of a formal legal petition (petição inicial) before the competent court of Rio de Janeiro, including preparation of all supporting documentation and legal arguments.</w:t>
            </w:r>
          </w:p>
        </w:tc>
        <w:tc>
          <w:tcPr/>
          <w:p>
            <w:pPr>
              <w:pStyle w:val="Compact"/>
              <w:jc w:val="left"/>
            </w:pPr>
            <w:r>
              <w:t xml:space="preserve">12 hours</w:t>
            </w:r>
          </w:p>
        </w:tc>
        <w:tc>
          <w:tcPr/>
          <w:p>
            <w:pPr>
              <w:pStyle w:val="Compact"/>
              <w:jc w:val="left"/>
            </w:pPr>
            <w:r>
              <w:t xml:space="preserve">R$ 850,00</w:t>
            </w:r>
          </w:p>
        </w:tc>
        <w:tc>
          <w:tcPr/>
          <w:p>
            <w:pPr>
              <w:pStyle w:val="Compact"/>
              <w:jc w:val="left"/>
            </w:pPr>
            <w:r>
              <w:t xml:space="preserve">R$ 10.200,00</w:t>
            </w:r>
          </w:p>
        </w:tc>
        <w:tc>
          <w:tcPr/>
          <w:p>
            <w:pPr>
              <w:pStyle w:val="Compact"/>
              <w:jc w:val="left"/>
            </w:pPr>
            <w:r>
              <w:t xml:space="preserve">Civil litigation</w:t>
            </w:r>
          </w:p>
        </w:tc>
      </w:tr>
      <w:tr>
        <w:tc>
          <w:tcPr/>
          <w:p>
            <w:pPr>
              <w:pStyle w:val="Compact"/>
              <w:jc w:val="left"/>
            </w:pPr>
            <w:r>
              <w:t xml:space="preserve">03</w:t>
            </w:r>
          </w:p>
        </w:tc>
        <w:tc>
          <w:tcPr/>
          <w:p>
            <w:pPr>
              <w:pStyle w:val="Compact"/>
              <w:jc w:val="left"/>
            </w:pPr>
            <w:r>
              <w:t xml:space="preserve">Representation of the Client at all court hearings, depositions, and procedural sessions before the Tribunal de Justiça do Estado do Rio de Janeiro (TJ-RJ) and, if applicable, the Superior Court of Justice (STJ) in Brasília.</w:t>
            </w:r>
          </w:p>
        </w:tc>
        <w:tc>
          <w:tcPr/>
          <w:p>
            <w:pPr>
              <w:pStyle w:val="Compact"/>
              <w:jc w:val="left"/>
            </w:pPr>
            <w:r>
              <w:t xml:space="preserve">20 hours</w:t>
            </w:r>
          </w:p>
        </w:tc>
        <w:tc>
          <w:tcPr/>
          <w:p>
            <w:pPr>
              <w:pStyle w:val="Compact"/>
              <w:jc w:val="left"/>
            </w:pPr>
            <w:r>
              <w:t xml:space="preserve">R$ 950,00</w:t>
            </w:r>
          </w:p>
        </w:tc>
        <w:tc>
          <w:tcPr/>
          <w:p>
            <w:pPr>
              <w:pStyle w:val="Compact"/>
              <w:jc w:val="left"/>
            </w:pPr>
            <w:r>
              <w:t xml:space="preserve">R$ 19.000,00</w:t>
            </w:r>
          </w:p>
        </w:tc>
        <w:tc>
          <w:tcPr/>
          <w:p>
            <w:pPr>
              <w:pStyle w:val="Compact"/>
              <w:jc w:val="left"/>
            </w:pPr>
            <w:r>
              <w:t xml:space="preserve">Estimated; subject to actual proceedings</w:t>
            </w:r>
          </w:p>
        </w:tc>
      </w:tr>
      <w:tr>
        <w:tc>
          <w:tcPr/>
          <w:p>
            <w:pPr>
              <w:pStyle w:val="Compact"/>
              <w:jc w:val="left"/>
            </w:pPr>
            <w:r>
              <w:t xml:space="preserve">04</w:t>
            </w:r>
          </w:p>
        </w:tc>
        <w:tc>
          <w:tcPr/>
          <w:p>
            <w:pPr>
              <w:pStyle w:val="Compact"/>
              <w:jc w:val="left"/>
            </w:pPr>
            <w:r>
              <w:t xml:space="preserve">Preparation of legal memoranda, expert witness coordination, and drafting of appellate briefs (recursos) in the event of an adverse first-instance decision.</w:t>
            </w:r>
          </w:p>
        </w:tc>
        <w:tc>
          <w:tcPr/>
          <w:p>
            <w:pPr>
              <w:pStyle w:val="Compact"/>
              <w:jc w:val="left"/>
            </w:pPr>
            <w:r>
              <w:t xml:space="preserve">15 hours</w:t>
            </w:r>
          </w:p>
        </w:tc>
        <w:tc>
          <w:tcPr/>
          <w:p>
            <w:pPr>
              <w:pStyle w:val="Compact"/>
              <w:jc w:val="left"/>
            </w:pPr>
            <w:r>
              <w:t xml:space="preserve">R$ 850,00</w:t>
            </w:r>
          </w:p>
        </w:tc>
        <w:tc>
          <w:tcPr/>
          <w:p>
            <w:pPr>
              <w:pStyle w:val="Compact"/>
              <w:jc w:val="left"/>
            </w:pPr>
            <w:r>
              <w:t xml:space="preserve">R$ 12.750,00</w:t>
            </w:r>
          </w:p>
        </w:tc>
        <w:tc>
          <w:tcPr/>
          <w:p>
            <w:pPr>
              <w:pStyle w:val="Compact"/>
              <w:jc w:val="left"/>
            </w:pPr>
            <w:r>
              <w:t xml:space="preserve">Contingent on case outcome</w:t>
            </w:r>
          </w:p>
        </w:tc>
      </w:tr>
      <w:tr>
        <w:tc>
          <w:tcPr/>
          <w:p>
            <w:pPr>
              <w:pStyle w:val="Compact"/>
              <w:jc w:val="left"/>
            </w:pPr>
            <w:r>
              <w:t xml:space="preserve">05</w:t>
            </w:r>
          </w:p>
        </w:tc>
        <w:tc>
          <w:tcPr/>
          <w:p>
            <w:pPr>
              <w:pStyle w:val="Compact"/>
              <w:jc w:val="left"/>
            </w:pPr>
            <w:r>
              <w:t xml:space="preserve">Ongoing case management, client communication (in-person meetings in Rio de Janeiro, telephone, and electronic correspondence), and procedural monitoring throughout the litigation lifecycle.</w:t>
            </w:r>
          </w:p>
        </w:tc>
        <w:tc>
          <w:tcPr/>
          <w:p>
            <w:pPr>
              <w:pStyle w:val="Compact"/>
              <w:jc w:val="left"/>
            </w:pPr>
            <w:r>
              <w:t xml:space="preserve">25 hours</w:t>
            </w:r>
          </w:p>
        </w:tc>
        <w:tc>
          <w:tcPr/>
          <w:p>
            <w:pPr>
              <w:pStyle w:val="Compact"/>
              <w:jc w:val="left"/>
            </w:pPr>
            <w:r>
              <w:t xml:space="preserve">R$ 700,00</w:t>
            </w:r>
          </w:p>
        </w:tc>
        <w:tc>
          <w:tcPr/>
          <w:p>
            <w:pPr>
              <w:pStyle w:val="Compact"/>
              <w:jc w:val="left"/>
            </w:pPr>
            <w:r>
              <w:t xml:space="preserve">R$ 17.500,00</w:t>
            </w:r>
          </w:p>
        </w:tc>
        <w:tc>
          <w:tcPr/>
          <w:p>
            <w:pPr>
              <w:pStyle w:val="Compact"/>
              <w:jc w:val="left"/>
            </w:pPr>
            <w:r>
              <w:t xml:space="preserve">Billed monthly</w:t>
            </w:r>
          </w:p>
        </w:tc>
      </w:tr>
      <w:tr>
        <w:tc>
          <w:tcPr/>
          <w:p>
            <w:pPr>
              <w:pStyle w:val="Compact"/>
              <w:jc w:val="left"/>
            </w:pPr>
            <w:r>
              <w:t xml:space="preserve">06</w:t>
            </w:r>
          </w:p>
        </w:tc>
        <w:tc>
          <w:tcPr/>
          <w:p>
            <w:pPr>
              <w:pStyle w:val="Compact"/>
              <w:jc w:val="left"/>
            </w:pPr>
            <w:r>
              <w:t xml:space="preserve">Court filing fees, official stamps (taxas judiciárias), and mandatory procedural costs as established by the State of Rio de Janeiro judiciary.</w:t>
            </w:r>
          </w:p>
        </w:tc>
        <w:tc>
          <w:tcPr/>
          <w:p>
            <w:pPr>
              <w:pStyle w:val="Compact"/>
              <w:jc w:val="left"/>
            </w:pPr>
            <w:r>
              <w:t xml:space="preserve">N/A</w:t>
            </w:r>
          </w:p>
        </w:tc>
        <w:tc>
          <w:tcPr/>
          <w:p>
            <w:pPr>
              <w:pStyle w:val="Compact"/>
              <w:jc w:val="left"/>
            </w:pPr>
            <w:r>
              <w:t xml:space="preserve">N/A</w:t>
            </w:r>
          </w:p>
        </w:tc>
        <w:tc>
          <w:tcPr/>
          <w:p>
            <w:pPr>
              <w:pStyle w:val="Compact"/>
              <w:jc w:val="left"/>
            </w:pPr>
            <w:r>
              <w:t xml:space="preserve">R$ 3.200,00</w:t>
            </w:r>
          </w:p>
        </w:tc>
        <w:tc>
          <w:tcPr/>
          <w:p>
            <w:pPr>
              <w:pStyle w:val="Compact"/>
              <w:jc w:val="left"/>
            </w:pPr>
            <w:r>
              <w:t xml:space="preserve">Reimbursed at actual cost</w:t>
            </w:r>
          </w:p>
        </w:tc>
      </w:tr>
      <w:tr>
        <w:tc>
          <w:tcPr/>
          <w:p>
            <w:pPr>
              <w:pStyle w:val="Compact"/>
              <w:jc w:val="left"/>
            </w:pPr>
            <w:r>
              <w:t xml:space="preserve">07</w:t>
            </w:r>
          </w:p>
        </w:tc>
        <w:tc>
          <w:tcPr/>
          <w:p>
            <w:pPr>
              <w:pStyle w:val="Compact"/>
              <w:jc w:val="left"/>
            </w:pPr>
            <w:r>
              <w:t xml:space="preserve">Notarization, certified copies, and official document authentication required by Brazilian law for the proceedings.</w:t>
            </w:r>
          </w:p>
        </w:tc>
        <w:tc>
          <w:tcPr/>
          <w:p>
            <w:pPr>
              <w:pStyle w:val="Compact"/>
              <w:jc w:val="left"/>
            </w:pPr>
            <w:r>
              <w:t xml:space="preserve">N/A</w:t>
            </w:r>
          </w:p>
        </w:tc>
        <w:tc>
          <w:tcPr/>
          <w:p>
            <w:pPr>
              <w:pStyle w:val="Compact"/>
              <w:jc w:val="left"/>
            </w:pPr>
            <w:r>
              <w:t xml:space="preserve">N/A</w:t>
            </w:r>
          </w:p>
        </w:tc>
        <w:tc>
          <w:tcPr/>
          <w:p>
            <w:pPr>
              <w:pStyle w:val="Compact"/>
              <w:jc w:val="left"/>
            </w:pPr>
            <w:r>
              <w:t xml:space="preserve">R$ 1.800,00</w:t>
            </w:r>
          </w:p>
        </w:tc>
        <w:tc>
          <w:tcPr/>
          <w:p>
            <w:pPr>
              <w:pStyle w:val="Compact"/>
              <w:jc w:val="left"/>
            </w:pPr>
            <w:r>
              <w:t xml:space="preserve">Reimbursed at actual cost</w:t>
            </w:r>
          </w:p>
        </w:tc>
      </w:tr>
      <w:tr>
        <w:tc>
          <w:tcPr>
            <w:gridSpan w:val="4"/>
          </w:tcPr>
          <w:p>
            <w:pPr>
              <w:pStyle w:val="Compact"/>
              <w:jc w:val="left"/>
            </w:pPr>
            <w:r>
              <w:t xml:space="preserve">TOTAL ESTIMATED QUOTATION (BRL)</w:t>
            </w:r>
          </w:p>
        </w:tc>
        <w:tc>
          <w:tcPr/>
          <w:p>
            <w:pPr>
              <w:pStyle w:val="Compact"/>
              <w:jc w:val="left"/>
            </w:pPr>
            <w:r>
              <w:t xml:space="preserve">R$ 67.000,00</w:t>
            </w:r>
          </w:p>
        </w:tc>
        <w:tc>
          <w:tcPr/>
          <w:p>
            <w:pPr>
              <w:pStyle w:val="Compact"/>
              <w:jc w:val="left"/>
            </w:pPr>
            <w:r>
              <w:t xml:space="preserve">Approx. USD 12.400,00</w:t>
            </w:r>
          </w:p>
        </w:tc>
      </w:tr>
    </w:tbl>
    <w:p>
      <w:pPr>
        <w:pStyle w:val="BodyText"/>
      </w:pPr>
      <w:r>
        <w:rPr>
          <w:bCs/>
          <w:b/>
        </w:rPr>
        <w:t xml:space="preserve">Important Note:</w:t>
      </w:r>
      <w:r>
        <w:t xml:space="preserve"> </w:t>
      </w:r>
      <w:r>
        <w:t xml:space="preserve">This Quotation Estimate is based on the current understanding of the case as described by the Client. The final fees may vary depending on the complexity of the proceedings, the number of court sessions required, the involvement of additional legal professionals, or any unforeseen procedural developments. The Lawyer reserves the right to issue a revised Quotation Estimate should the scope of work materially change. All fees are subject to the applicable Brazilian tax regulations, including ISS (Imposto Sobre Serviços) levied by the municipality of Rio de Janeiro.</w:t>
      </w:r>
    </w:p>
    <w:bookmarkEnd w:id="24"/>
    <w:bookmarkStart w:id="25" w:name="payment-terms-and-conditions"/>
    <w:p>
      <w:pPr>
        <w:pStyle w:val="Heading2"/>
      </w:pPr>
      <w:r>
        <w:t xml:space="preserve">3. Payment Terms and Conditions</w:t>
      </w:r>
    </w:p>
    <w:p>
      <w:pPr>
        <w:numPr>
          <w:ilvl w:val="0"/>
          <w:numId w:val="1001"/>
        </w:numPr>
        <w:pStyle w:val="Compact"/>
      </w:pPr>
      <w:r>
        <w:rPr>
          <w:bCs/>
          <w:b/>
        </w:rPr>
        <w:t xml:space="preserve">Initial Retainer:</w:t>
      </w:r>
      <w:r>
        <w:t xml:space="preserve"> </w:t>
      </w:r>
      <w:r>
        <w:t xml:space="preserve">A non-refundable retainer fee of R$ 10.000,00 (ten thousand Brazilian Reais) shall be due upon execution of the Retainer Agreement. This amount shall be credited against the total fees as services are rendered.</w:t>
      </w:r>
    </w:p>
    <w:p>
      <w:pPr>
        <w:numPr>
          <w:ilvl w:val="0"/>
          <w:numId w:val="1001"/>
        </w:numPr>
        <w:pStyle w:val="Compact"/>
      </w:pPr>
      <w:r>
        <w:rPr>
          <w:bCs/>
          <w:b/>
        </w:rPr>
        <w:t xml:space="preserve">Monthly Invoicing:</w:t>
      </w:r>
      <w:r>
        <w:t xml:space="preserve"> </w:t>
      </w:r>
      <w:r>
        <w:t xml:space="preserve">Professional fees for items 02 through 05 shall be invoiced on a monthly basis, payable within fifteen (15) calendar days of the invoice date via bank transfer (TED/PIX) to the firm's account at Banco do Brasil, Ag. 1234-5, Conta 67890-1, Rio de Janeiro, Brazil.</w:t>
      </w:r>
    </w:p>
    <w:p>
      <w:pPr>
        <w:numPr>
          <w:ilvl w:val="0"/>
          <w:numId w:val="1001"/>
        </w:numPr>
        <w:pStyle w:val="Compact"/>
      </w:pPr>
      <w:r>
        <w:rPr>
          <w:bCs/>
          <w:b/>
        </w:rPr>
        <w:t xml:space="preserve">Reimbursable Expenses:</w:t>
      </w:r>
      <w:r>
        <w:t xml:space="preserve"> </w:t>
      </w:r>
      <w:r>
        <w:t xml:space="preserve">Court fees, notarization costs, and other out-of-pocket expenses (items 06 and 07) shall be billed separately with supporting receipts and are payable within ten (10) business days.</w:t>
      </w:r>
    </w:p>
    <w:p>
      <w:pPr>
        <w:numPr>
          <w:ilvl w:val="0"/>
          <w:numId w:val="1001"/>
        </w:numPr>
        <w:pStyle w:val="Compact"/>
      </w:pPr>
      <w:r>
        <w:rPr>
          <w:bCs/>
          <w:b/>
        </w:rPr>
        <w:t xml:space="preserve">Late Payment:</w:t>
      </w:r>
      <w:r>
        <w:t xml:space="preserve"> </w:t>
      </w:r>
      <w:r>
        <w:t xml:space="preserve">Overdue amounts shall accrue a monthly interest rate of 1% (one percent) plus a 2% late-payment penalty, in accordance with Article 41 of the Brazilian Statute of Advocacy (Lei nº 8.906/1994).</w:t>
      </w:r>
    </w:p>
    <w:p>
      <w:pPr>
        <w:numPr>
          <w:ilvl w:val="0"/>
          <w:numId w:val="1001"/>
        </w:numPr>
        <w:pStyle w:val="Compact"/>
      </w:pPr>
      <w:r>
        <w:rPr>
          <w:bCs/>
          <w:b/>
        </w:rPr>
        <w:t xml:space="preserve">Success Fee (if applicable):</w:t>
      </w:r>
      <w:r>
        <w:t xml:space="preserve"> </w:t>
      </w:r>
      <w:r>
        <w:t xml:space="preserve">In the event of a favorable judgment or settlement, an additional success fee of 15% (fifteen percent) of the amount recovered shall be due, as stipulated in the separate Retainer Agreement.</w:t>
      </w:r>
    </w:p>
    <w:bookmarkEnd w:id="25"/>
    <w:bookmarkStart w:id="26" w:name="Xbf8cdb8a80005eb6429ccf814d71ceb6dfdaa32"/>
    <w:p>
      <w:pPr>
        <w:pStyle w:val="Heading2"/>
      </w:pPr>
      <w:r>
        <w:t xml:space="preserve">4. Validity and Acceptance of This Quotation Estimate</w:t>
      </w:r>
    </w:p>
    <w:p>
      <w:pPr>
        <w:pStyle w:val="FirstParagraph"/>
      </w:pPr>
      <w:r>
        <w:t xml:space="preserve">This Quotation Estimate shall remain valid for a period of thirty (30) calendar days from the date of issue, after which the fees and rates presented herein may be subject to revision. Acceptance of this Quotation Estimate does not constitute a binding contract. A formal engagement shall only be established upon the mutual execution of a written Retainer Agreement, which shall incorporate the terms of this Quotation Estimate as an annex. The Client is advised to review this document carefully and to seek independent legal counsel if any term is unclear.</w:t>
      </w:r>
    </w:p>
    <w:bookmarkEnd w:id="26"/>
    <w:bookmarkStart w:id="27" w:name="governing-law-and-dispute-resolution"/>
    <w:p>
      <w:pPr>
        <w:pStyle w:val="Heading2"/>
      </w:pPr>
      <w:r>
        <w:t xml:space="preserve">5. Governing Law and Dispute Resolution</w:t>
      </w:r>
    </w:p>
    <w:p>
      <w:pPr>
        <w:pStyle w:val="FirstParagraph"/>
      </w:pPr>
      <w:r>
        <w:t xml:space="preserve">This Quotation Estimate and any subsequent Retainer Agreement shall be governed by and construed in accordance with the laws of the Federative Republic of Brazil, particularly the Brazilian Civil Code, the Brazilian Code of Civil Procedure (Código de Processo Civil, Lei nº 13.105/2015), and the Brazilian Statute of Advocacy. Any disputes arising from or in connection with this Quotation Estimate shall be resolved exclusively by the competent courts of the city of Rio de Janeiro, State of Rio de Janeiro, Brazil, with express waiver of any other jurisdiction, however favorable it may be.</w:t>
      </w:r>
    </w:p>
    <w:bookmarkEnd w:id="27"/>
    <w:bookmarkStart w:id="28" w:name="confidentiality-and-professional-ethics"/>
    <w:p>
      <w:pPr>
        <w:pStyle w:val="Heading2"/>
      </w:pPr>
      <w:r>
        <w:t xml:space="preserve">6. Confidentiality and Professional Ethics</w:t>
      </w:r>
    </w:p>
    <w:p>
      <w:pPr>
        <w:pStyle w:val="FirstParagraph"/>
      </w:pPr>
      <w:r>
        <w:t xml:space="preserve">The Lawyer and all members of the Santos &amp; Almeida Advocacia firm in Rio de Janeiro shall maintain strict confidentiality regarding all information, documents, and strategies disclosed by the Client in connection with this engagement, in full compliance with the Code of Ethics and Discipline of the OAB/RJ and the provisions of the Brazilian Statute of Advocacy. This obligation of confidentiality shall survive the termination of the professional relationship.</w:t>
      </w:r>
    </w:p>
    <w:p>
      <w:pPr>
        <w:pStyle w:val="BodyText"/>
      </w:pPr>
      <w:r>
        <w:rPr>
          <w:bCs/>
          <w:b/>
        </w:rPr>
        <w:t xml:space="preserve">Dr. Ricardo Almeida Santos</w:t>
      </w:r>
      <w:r>
        <w:br/>
      </w:r>
      <w:r>
        <w:t xml:space="preserve">Attorney at Law — OAB/RJ 184.729</w:t>
      </w:r>
      <w:r>
        <w:br/>
      </w:r>
      <w:r>
        <w:t xml:space="preserve">Santos &amp; Almeida Advocacia</w:t>
      </w:r>
      <w:r>
        <w:br/>
      </w:r>
      <w:r>
        <w:t xml:space="preserve">Rio de Janeiro, RJ — Brazil</w:t>
      </w:r>
      <w:r>
        <w:br/>
      </w:r>
      <w:r>
        <w:t xml:space="preserve">Date: _______________</w:t>
      </w:r>
    </w:p>
    <w:p>
      <w:pPr>
        <w:pStyle w:val="BodyText"/>
      </w:pPr>
      <w:r>
        <w:rPr>
          <w:bCs/>
          <w:b/>
        </w:rPr>
        <w:t xml:space="preserve">Client Acknowledgment</w:t>
      </w:r>
      <w:r>
        <w:br/>
      </w:r>
      <w:r>
        <w:t xml:space="preserve">[Client Full Name]</w:t>
      </w:r>
      <w:r>
        <w:br/>
      </w:r>
      <w:r>
        <w:t xml:space="preserve">CPF/CNPJ: _______________</w:t>
      </w:r>
      <w:r>
        <w:br/>
      </w:r>
      <w:r>
        <w:t xml:space="preserve">Rio de Janeiro, RJ — Brazil</w:t>
      </w:r>
      <w:r>
        <w:br/>
      </w:r>
      <w:r>
        <w:t xml:space="preserve">Date: _______________</w:t>
      </w:r>
    </w:p>
    <w:p>
      <w:pPr>
        <w:pStyle w:val="BodyText"/>
      </w:pPr>
      <w:r>
        <w:t xml:space="preserve">This Quotation Estimate was prepared by Santos &amp; Almeida Advocacia, a law firm registered in Rio de Janeiro, Brazil, under CNPJ 12.345.678/0001-90. This document is valid only for the Client named herein and may not be transferred or assigned to any third party without prior written consent of the Lawyer. For further inquiries regarding this Quotation Estimate, please contact the firm at the address or telephone number listed above. © 2025 Santos &amp; Almeida Advocacia — Rio de Janeiro, Brazil.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Rio de Janeiro, Brazil</dc:title>
  <dc:creator/>
  <dc:language>en</dc:language>
  <cp:keywords/>
  <dcterms:created xsi:type="dcterms:W3CDTF">2026-10-10T14:24:42Z</dcterms:created>
  <dcterms:modified xsi:type="dcterms:W3CDTF">2026-10-10T14:24:42Z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