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bouchard-tremblay-llp"/>
    <w:p>
      <w:pPr>
        <w:pStyle w:val="Heading1"/>
      </w:pPr>
      <w:r>
        <w:t xml:space="preserve">BOUCHARD &amp; TREMBLAY LLP</w:t>
      </w:r>
    </w:p>
    <w:p>
      <w:pPr>
        <w:pStyle w:val="FirstParagraph"/>
      </w:pPr>
      <w:r>
        <w:t xml:space="preserve">Avocats / Lawyers | Barristers &amp; Solicitors</w:t>
      </w:r>
    </w:p>
    <w:p>
      <w:pPr>
        <w:pStyle w:val="BodyText"/>
      </w:pPr>
      <w:r>
        <w:t xml:space="preserve">1250 Rue Sainte-Catherine Ouest, Bureau 4500, Canada Montreal, QC H3B 4W8</w:t>
      </w:r>
    </w:p>
    <w:p>
      <w:pPr>
        <w:pStyle w:val="BodyText"/>
      </w:pPr>
      <w:r>
        <w:t xml:space="preserve">Tel: (514) 555-0192 | Fax: (514) 555-0193 | info@bouchardtremblay.ca</w:t>
      </w:r>
    </w:p>
    <w:p>
      <w:pPr>
        <w:pStyle w:val="BodyText"/>
      </w:pPr>
      <w:r>
        <w:t xml:space="preserve">Member, Barreau du Québec | Member, Law Society of Canada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QTE-2025-04871</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Currency:</w:t>
      </w:r>
      <w:r>
        <w:t xml:space="preserve"> </w:t>
      </w:r>
      <w:r>
        <w:t xml:space="preserve">Canadian Dollars (CAD)</w:t>
      </w:r>
    </w:p>
    <w:p>
      <w:pPr>
        <w:pStyle w:val="BodyText"/>
      </w:pPr>
      <w:r>
        <w:rPr>
          <w:bCs/>
          <w:b/>
        </w:rPr>
        <w:t xml:space="preserve">Prepared By:</w:t>
      </w:r>
      <w:r>
        <w:t xml:space="preserve"> </w:t>
      </w:r>
      <w:r>
        <w:t xml:space="preserve">Me. Catherine Bouchard, Lawyer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[Client Address], Canada Montreal, QC</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 Address]</w:t>
      </w:r>
    </w:p>
    <w:p>
      <w:pPr>
        <w:pStyle w:val="BodyText"/>
      </w:pPr>
      <w:r>
        <w:rPr>
          <w:bCs/>
          <w:b/>
        </w:rPr>
        <w:t xml:space="preserve">Matter Reference:</w:t>
      </w:r>
      <w:r>
        <w:t xml:space="preserve"> </w:t>
      </w:r>
      <w:r>
        <w:t xml:space="preserve">Civil Litigation – Contract Dispute</w:t>
      </w:r>
    </w:p>
    <w:bookmarkEnd w:id="22"/>
    <w:bookmarkStart w:id="23" w:name="purpose-of-this-quotation-estimate"/>
    <w:p>
      <w:pPr>
        <w:pStyle w:val="Heading2"/>
      </w:pPr>
      <w:r>
        <w:t xml:space="preserve">1. Purpose of This Quotation Estimate</w:t>
      </w:r>
    </w:p>
    <w:p>
      <w:pPr>
        <w:pStyle w:val="FirstParagraph"/>
      </w:pPr>
      <w:r>
        <w:t xml:space="preserve">This Quotation Estimate is issued by Bouchard &amp; Tremblay LLP, a full-service law firm practising in Canada Montreal, to provide the above-named client with a comprehensive and transparent breakdown of the professional legal services to be rendered by our Lawyer team. This document serves as a formal Quotation Estimate outlining the anticipated scope of work, hourly rates, disbursements, and total estimated costs associated with the representation of the client in the matter referenced above. All fees quoted herein are subject to the terms and conditions set forth in Section 6 of this Quotation Estimate and are governed by the professional fee regulations of the Barreau du Québec and the applicable laws of the Province of Québec, Canada.</w:t>
      </w:r>
    </w:p>
    <w:bookmarkEnd w:id="23"/>
    <w:bookmarkStart w:id="24" w:name="scope-of-legal-services"/>
    <w:p>
      <w:pPr>
        <w:pStyle w:val="Heading2"/>
      </w:pPr>
      <w:r>
        <w:t xml:space="preserve">2. Scope of Legal Services</w:t>
      </w:r>
    </w:p>
    <w:p>
      <w:pPr>
        <w:pStyle w:val="FirstParagraph"/>
      </w:pPr>
      <w:r>
        <w:t xml:space="preserve">The Lawyer assigned to this matter, Me. Catherine Bouchard, along with a supporting legal team, will provide the following services in Canada Montreal:</w:t>
      </w:r>
    </w:p>
    <w:p>
      <w:pPr>
        <w:numPr>
          <w:ilvl w:val="0"/>
          <w:numId w:val="1001"/>
        </w:numPr>
        <w:pStyle w:val="Compact"/>
      </w:pPr>
      <w:r>
        <w:t xml:space="preserve">Initial consultation and comprehensive review of all contractual documents, correspondence, and evidence related to the dispute;</w:t>
      </w:r>
    </w:p>
    <w:p>
      <w:pPr>
        <w:numPr>
          <w:ilvl w:val="0"/>
          <w:numId w:val="1001"/>
        </w:numPr>
        <w:pStyle w:val="Compact"/>
      </w:pPr>
      <w:r>
        <w:t xml:space="preserve">Preparation and filing of a Statement of Claim (Plaidoyer) before the Superior Court of Québec, Canada Montreal judicial district;</w:t>
      </w:r>
    </w:p>
    <w:p>
      <w:pPr>
        <w:numPr>
          <w:ilvl w:val="0"/>
          <w:numId w:val="1001"/>
        </w:numPr>
        <w:pStyle w:val="Compact"/>
      </w:pPr>
      <w:r>
        <w:t xml:space="preserve">Drafting and service of all necessary pleadings, motions, and interlocutory applications;</w:t>
      </w:r>
    </w:p>
    <w:p>
      <w:pPr>
        <w:numPr>
          <w:ilvl w:val="0"/>
          <w:numId w:val="1001"/>
        </w:numPr>
        <w:pStyle w:val="Compact"/>
      </w:pPr>
      <w:r>
        <w:t xml:space="preserve">Conducting pre-trial discovery, including examinations for discovery and production of documents;</w:t>
      </w:r>
    </w:p>
    <w:p>
      <w:pPr>
        <w:numPr>
          <w:ilvl w:val="0"/>
          <w:numId w:val="1001"/>
        </w:numPr>
        <w:pStyle w:val="Compact"/>
      </w:pPr>
      <w:r>
        <w:t xml:space="preserve">Participation in at least two (2) mediation sessions facilitated by the Québec Court Services in Canada Montreal;</w:t>
      </w:r>
    </w:p>
    <w:p>
      <w:pPr>
        <w:numPr>
          <w:ilvl w:val="0"/>
          <w:numId w:val="1001"/>
        </w:numPr>
        <w:pStyle w:val="Compact"/>
      </w:pPr>
      <w:r>
        <w:t xml:space="preserve">Preparation of the case for trial, including witness preparation, exhibit lists, and trial memoranda;</w:t>
      </w:r>
    </w:p>
    <w:p>
      <w:pPr>
        <w:numPr>
          <w:ilvl w:val="0"/>
          <w:numId w:val="1001"/>
        </w:numPr>
        <w:pStyle w:val="Compact"/>
      </w:pPr>
      <w:r>
        <w:t xml:space="preserve">Representation at trial before a judge of the Superior Court of Québec, estimated at three (3) full court days;</w:t>
      </w:r>
    </w:p>
    <w:p>
      <w:pPr>
        <w:numPr>
          <w:ilvl w:val="0"/>
          <w:numId w:val="1001"/>
        </w:numPr>
        <w:pStyle w:val="Compact"/>
      </w:pPr>
      <w:r>
        <w:t xml:space="preserve">Post-judgment enforcement proceedings if necessary, including writs of seizure and sale;</w:t>
      </w:r>
    </w:p>
    <w:p>
      <w:pPr>
        <w:numPr>
          <w:ilvl w:val="0"/>
          <w:numId w:val="1001"/>
        </w:numPr>
        <w:pStyle w:val="Compact"/>
      </w:pPr>
      <w:r>
        <w:t xml:space="preserve">General legal advice and correspondence throughout the duration of the matter.</w:t>
      </w:r>
    </w:p>
    <w:bookmarkEnd w:id="24"/>
    <w:bookmarkStart w:id="25" w:name="X9d0a925b872f7410a8b8139b2c3f2544172ea4e"/>
    <w:p>
      <w:pPr>
        <w:pStyle w:val="Heading2"/>
      </w:pPr>
      <w:r>
        <w:t xml:space="preserve">3. Fee Schedule and Quotation Estimate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Estimated Hours</w:t>
            </w:r>
          </w:p>
        </w:tc>
        <w:tc>
          <w:tcPr/>
          <w:p>
            <w:pPr>
              <w:pStyle w:val="Compact"/>
              <w:jc w:val="left"/>
            </w:pPr>
            <w:r>
              <w:t xml:space="preserve">Hourly Rate (CAD)</w:t>
            </w:r>
          </w:p>
        </w:tc>
        <w:tc>
          <w:tcPr/>
          <w:p>
            <w:pPr>
              <w:pStyle w:val="Compact"/>
              <w:jc w:val="left"/>
            </w:pPr>
            <w:r>
              <w:t xml:space="preserve">Estimated Cost (CAD)</w:t>
            </w:r>
          </w:p>
        </w:tc>
      </w:tr>
      <w:tr>
        <w:tc>
          <w:tcPr/>
          <w:p>
            <w:pPr>
              <w:pStyle w:val="Compact"/>
              <w:jc w:val="left"/>
            </w:pPr>
            <w:r>
              <w:t xml:space="preserve">Initial Consultation &amp; File Review</w:t>
            </w:r>
          </w:p>
        </w:tc>
        <w:tc>
          <w:tcPr/>
          <w:p>
            <w:pPr>
              <w:pStyle w:val="Compact"/>
              <w:jc w:val="left"/>
            </w:pPr>
            <w:r>
              <w:t xml:space="preserve">6.0</w:t>
            </w:r>
          </w:p>
        </w:tc>
        <w:tc>
          <w:tcPr/>
          <w:p>
            <w:pPr>
              <w:pStyle w:val="Compact"/>
              <w:jc w:val="left"/>
            </w:pPr>
            <w:r>
              <w:t xml:space="preserve">$325.00</w:t>
            </w:r>
          </w:p>
        </w:tc>
        <w:tc>
          <w:tcPr/>
          <w:p>
            <w:pPr>
              <w:pStyle w:val="Compact"/>
              <w:jc w:val="left"/>
            </w:pPr>
            <w:r>
              <w:t xml:space="preserve">$1,950.00</w:t>
            </w:r>
          </w:p>
        </w:tc>
      </w:tr>
      <w:tr>
        <w:tc>
          <w:tcPr/>
          <w:p>
            <w:pPr>
              <w:pStyle w:val="Compact"/>
              <w:jc w:val="left"/>
            </w:pPr>
            <w:r>
              <w:t xml:space="preserve">Drafting &amp; Filing of Pleadings</w:t>
            </w:r>
          </w:p>
        </w:tc>
        <w:tc>
          <w:tcPr/>
          <w:p>
            <w:pPr>
              <w:pStyle w:val="Compact"/>
              <w:jc w:val="left"/>
            </w:pPr>
            <w:r>
              <w:t xml:space="preserve">12.0</w:t>
            </w:r>
          </w:p>
        </w:tc>
        <w:tc>
          <w:tcPr/>
          <w:p>
            <w:pPr>
              <w:pStyle w:val="Compact"/>
              <w:jc w:val="left"/>
            </w:pPr>
            <w:r>
              <w:t xml:space="preserve">$325.00</w:t>
            </w:r>
          </w:p>
        </w:tc>
        <w:tc>
          <w:tcPr/>
          <w:p>
            <w:pPr>
              <w:pStyle w:val="Compact"/>
              <w:jc w:val="left"/>
            </w:pPr>
            <w:r>
              <w:t xml:space="preserve">$3,900.00</w:t>
            </w:r>
          </w:p>
        </w:tc>
      </w:tr>
      <w:tr>
        <w:tc>
          <w:tcPr/>
          <w:p>
            <w:pPr>
              <w:pStyle w:val="Compact"/>
              <w:jc w:val="left"/>
            </w:pPr>
            <w:r>
              <w:t xml:space="preserve">Pre-Trial Discovery &amp; Motions</w:t>
            </w:r>
          </w:p>
        </w:tc>
        <w:tc>
          <w:tcPr/>
          <w:p>
            <w:pPr>
              <w:pStyle w:val="Compact"/>
              <w:jc w:val="left"/>
            </w:pPr>
            <w:r>
              <w:t xml:space="preserve">18.0</w:t>
            </w:r>
          </w:p>
        </w:tc>
        <w:tc>
          <w:tcPr/>
          <w:p>
            <w:pPr>
              <w:pStyle w:val="Compact"/>
              <w:jc w:val="left"/>
            </w:pPr>
            <w:r>
              <w:t xml:space="preserve">$325.00</w:t>
            </w:r>
          </w:p>
        </w:tc>
        <w:tc>
          <w:tcPr/>
          <w:p>
            <w:pPr>
              <w:pStyle w:val="Compact"/>
              <w:jc w:val="left"/>
            </w:pPr>
            <w:r>
              <w:t xml:space="preserve">$5,850.00</w:t>
            </w:r>
          </w:p>
        </w:tc>
      </w:tr>
      <w:tr>
        <w:tc>
          <w:tcPr/>
          <w:p>
            <w:pPr>
              <w:pStyle w:val="Compact"/>
              <w:jc w:val="left"/>
            </w:pPr>
            <w:r>
              <w:t xml:space="preserve">Mediation Sessions (2 sessions)</w:t>
            </w:r>
          </w:p>
        </w:tc>
        <w:tc>
          <w:tcPr/>
          <w:p>
            <w:pPr>
              <w:pStyle w:val="Compact"/>
              <w:jc w:val="left"/>
            </w:pPr>
            <w:r>
              <w:t xml:space="preserve">8.0</w:t>
            </w:r>
          </w:p>
        </w:tc>
        <w:tc>
          <w:tcPr/>
          <w:p>
            <w:pPr>
              <w:pStyle w:val="Compact"/>
              <w:jc w:val="left"/>
            </w:pPr>
            <w:r>
              <w:t xml:space="preserve">$325.00</w:t>
            </w:r>
          </w:p>
        </w:tc>
        <w:tc>
          <w:tcPr/>
          <w:p>
            <w:pPr>
              <w:pStyle w:val="Compact"/>
              <w:jc w:val="left"/>
            </w:pPr>
            <w:r>
              <w:t xml:space="preserve">$2,600.00</w:t>
            </w:r>
          </w:p>
        </w:tc>
      </w:tr>
      <w:tr>
        <w:tc>
          <w:tcPr/>
          <w:p>
            <w:pPr>
              <w:pStyle w:val="Compact"/>
              <w:jc w:val="left"/>
            </w:pPr>
            <w:r>
              <w:t xml:space="preserve">Trial Preparation</w:t>
            </w:r>
          </w:p>
        </w:tc>
        <w:tc>
          <w:tcPr/>
          <w:p>
            <w:pPr>
              <w:pStyle w:val="Compact"/>
              <w:jc w:val="left"/>
            </w:pPr>
            <w:r>
              <w:t xml:space="preserve">20.0</w:t>
            </w:r>
          </w:p>
        </w:tc>
        <w:tc>
          <w:tcPr/>
          <w:p>
            <w:pPr>
              <w:pStyle w:val="Compact"/>
              <w:jc w:val="left"/>
            </w:pPr>
            <w:r>
              <w:t xml:space="preserve">$325.00</w:t>
            </w:r>
          </w:p>
        </w:tc>
        <w:tc>
          <w:tcPr/>
          <w:p>
            <w:pPr>
              <w:pStyle w:val="Compact"/>
              <w:jc w:val="left"/>
            </w:pPr>
            <w:r>
              <w:t xml:space="preserve">$6,500.00</w:t>
            </w:r>
          </w:p>
        </w:tc>
      </w:tr>
      <w:tr>
        <w:tc>
          <w:tcPr/>
          <w:p>
            <w:pPr>
              <w:pStyle w:val="Compact"/>
              <w:jc w:val="left"/>
            </w:pPr>
            <w:r>
              <w:t xml:space="preserve">Trial Representation (3 court days)</w:t>
            </w:r>
          </w:p>
        </w:tc>
        <w:tc>
          <w:tcPr/>
          <w:p>
            <w:pPr>
              <w:pStyle w:val="Compact"/>
              <w:jc w:val="left"/>
            </w:pPr>
            <w:r>
              <w:t xml:space="preserve">24.0</w:t>
            </w:r>
          </w:p>
        </w:tc>
        <w:tc>
          <w:tcPr/>
          <w:p>
            <w:pPr>
              <w:pStyle w:val="Compact"/>
              <w:jc w:val="left"/>
            </w:pPr>
            <w:r>
              <w:t xml:space="preserve">$350.00</w:t>
            </w:r>
          </w:p>
        </w:tc>
        <w:tc>
          <w:tcPr/>
          <w:p>
            <w:pPr>
              <w:pStyle w:val="Compact"/>
              <w:jc w:val="left"/>
            </w:pPr>
            <w:r>
              <w:t xml:space="preserve">$8,400.00</w:t>
            </w:r>
          </w:p>
        </w:tc>
      </w:tr>
      <w:tr>
        <w:tc>
          <w:tcPr/>
          <w:p>
            <w:pPr>
              <w:pStyle w:val="Compact"/>
              <w:jc w:val="left"/>
            </w:pPr>
            <w:r>
              <w:t xml:space="preserve">Post-Judgment Enforcement</w:t>
            </w:r>
          </w:p>
        </w:tc>
        <w:tc>
          <w:tcPr/>
          <w:p>
            <w:pPr>
              <w:pStyle w:val="Compact"/>
              <w:jc w:val="left"/>
            </w:pPr>
            <w:r>
              <w:t xml:space="preserve">8.0</w:t>
            </w:r>
          </w:p>
        </w:tc>
        <w:tc>
          <w:tcPr/>
          <w:p>
            <w:pPr>
              <w:pStyle w:val="Compact"/>
              <w:jc w:val="left"/>
            </w:pPr>
            <w:r>
              <w:t xml:space="preserve">$325.00</w:t>
            </w:r>
          </w:p>
        </w:tc>
        <w:tc>
          <w:tcPr/>
          <w:p>
            <w:pPr>
              <w:pStyle w:val="Compact"/>
              <w:jc w:val="left"/>
            </w:pPr>
            <w:r>
              <w:t xml:space="preserve">$2,600.00</w:t>
            </w:r>
          </w:p>
        </w:tc>
      </w:tr>
      <w:tr>
        <w:tc>
          <w:tcPr/>
          <w:p>
            <w:pPr>
              <w:pStyle w:val="Compact"/>
              <w:jc w:val="left"/>
            </w:pPr>
            <w:r>
              <w:t xml:space="preserve">General Correspondence &amp; Advice</w:t>
            </w:r>
          </w:p>
        </w:tc>
        <w:tc>
          <w:tcPr/>
          <w:p>
            <w:pPr>
              <w:pStyle w:val="Compact"/>
              <w:jc w:val="left"/>
            </w:pPr>
            <w:r>
              <w:t xml:space="preserve">10.0</w:t>
            </w:r>
          </w:p>
        </w:tc>
        <w:tc>
          <w:tcPr/>
          <w:p>
            <w:pPr>
              <w:pStyle w:val="Compact"/>
              <w:jc w:val="left"/>
            </w:pPr>
            <w:r>
              <w:t xml:space="preserve">$275.00</w:t>
            </w:r>
          </w:p>
        </w:tc>
        <w:tc>
          <w:tcPr/>
          <w:p>
            <w:pPr>
              <w:pStyle w:val="Compact"/>
              <w:jc w:val="left"/>
            </w:pPr>
            <w:r>
              <w:t xml:space="preserve">$2,750.00</w:t>
            </w:r>
          </w:p>
        </w:tc>
      </w:tr>
      <w:tr>
        <w:tc>
          <w:tcPr/>
          <w:p>
            <w:pPr>
              <w:pStyle w:val="Compact"/>
              <w:jc w:val="left"/>
            </w:pPr>
            <w:r>
              <w:rPr>
                <w:bCs/>
                <w:b/>
              </w:rPr>
              <w:t xml:space="preserve">Subtotal – Professional Fees</w:t>
            </w:r>
          </w:p>
        </w:tc>
        <w:tc>
          <w:tcPr/>
          <w:p>
            <w:pPr>
              <w:pStyle w:val="Compact"/>
              <w:jc w:val="left"/>
            </w:pPr>
            <w:r>
              <w:rPr>
                <w:bCs/>
                <w:b/>
              </w:rPr>
              <w:t xml:space="preserve">106.0</w:t>
            </w:r>
          </w:p>
        </w:tc>
        <w:tc>
          <w:tcPr/>
          <w:p>
            <w:pPr>
              <w:pStyle w:val="Compact"/>
              <w:jc w:val="left"/>
            </w:pPr>
            <w:r>
              <w:t xml:space="preserve">—</w:t>
            </w:r>
          </w:p>
        </w:tc>
        <w:tc>
          <w:tcPr/>
          <w:p>
            <w:pPr>
              <w:pStyle w:val="Compact"/>
              <w:jc w:val="left"/>
            </w:pPr>
            <w:r>
              <w:rPr>
                <w:bCs/>
                <w:b/>
              </w:rPr>
              <w:t xml:space="preserve">$34,550.00</w:t>
            </w:r>
          </w:p>
        </w:tc>
      </w:tr>
      <w:tr>
        <w:tc>
          <w:tcPr/>
          <w:p>
            <w:pPr>
              <w:pStyle w:val="Compact"/>
              <w:jc w:val="left"/>
            </w:pPr>
            <w:r>
              <w:t xml:space="preserve">Court Filing Fees &amp; Service of Process</w:t>
            </w:r>
          </w:p>
        </w:tc>
        <w:tc>
          <w:tcPr/>
          <w:p>
            <w:pPr>
              <w:pStyle w:val="Compact"/>
              <w:jc w:val="left"/>
            </w:pPr>
            <w:r>
              <w:t xml:space="preserve">—</w:t>
            </w:r>
          </w:p>
        </w:tc>
        <w:tc>
          <w:tcPr/>
          <w:p>
            <w:pPr>
              <w:pStyle w:val="Compact"/>
              <w:jc w:val="left"/>
            </w:pPr>
            <w:r>
              <w:t xml:space="preserve">—</w:t>
            </w:r>
          </w:p>
        </w:tc>
        <w:tc>
          <w:tcPr/>
          <w:p>
            <w:pPr>
              <w:pStyle w:val="Compact"/>
              <w:jc w:val="left"/>
            </w:pPr>
            <w:r>
              <w:t xml:space="preserve">$1,240.00</w:t>
            </w:r>
          </w:p>
        </w:tc>
      </w:tr>
      <w:tr>
        <w:tc>
          <w:tcPr/>
          <w:p>
            <w:pPr>
              <w:pStyle w:val="Compact"/>
              <w:jc w:val="left"/>
            </w:pPr>
            <w:r>
              <w:t xml:space="preserve">Expert Witness Retainer (1 expert)</w:t>
            </w:r>
          </w:p>
        </w:tc>
        <w:tc>
          <w:tcPr/>
          <w:p>
            <w:pPr>
              <w:pStyle w:val="Compact"/>
              <w:jc w:val="left"/>
            </w:pPr>
            <w:r>
              <w:t xml:space="preserve">—</w:t>
            </w:r>
          </w:p>
        </w:tc>
        <w:tc>
          <w:tcPr/>
          <w:p>
            <w:pPr>
              <w:pStyle w:val="Compact"/>
              <w:jc w:val="left"/>
            </w:pPr>
            <w:r>
              <w:t xml:space="preserve">—</w:t>
            </w:r>
          </w:p>
        </w:tc>
        <w:tc>
          <w:tcPr/>
          <w:p>
            <w:pPr>
              <w:pStyle w:val="Compact"/>
              <w:jc w:val="left"/>
            </w:pPr>
            <w:r>
              <w:t xml:space="preserve">$3,500.00</w:t>
            </w:r>
          </w:p>
        </w:tc>
      </w:tr>
      <w:tr>
        <w:tc>
          <w:tcPr/>
          <w:p>
            <w:pPr>
              <w:pStyle w:val="Compact"/>
              <w:jc w:val="left"/>
            </w:pPr>
            <w:r>
              <w:t xml:space="preserve">Transcription &amp; Court Reporting</w:t>
            </w:r>
          </w:p>
        </w:tc>
        <w:tc>
          <w:tcPr/>
          <w:p>
            <w:pPr>
              <w:pStyle w:val="Compact"/>
              <w:jc w:val="left"/>
            </w:pPr>
            <w:r>
              <w:t xml:space="preserve">—</w:t>
            </w:r>
          </w:p>
        </w:tc>
        <w:tc>
          <w:tcPr/>
          <w:p>
            <w:pPr>
              <w:pStyle w:val="Compact"/>
              <w:jc w:val="left"/>
            </w:pPr>
            <w:r>
              <w:t xml:space="preserve">—</w:t>
            </w:r>
          </w:p>
        </w:tc>
        <w:tc>
          <w:tcPr/>
          <w:p>
            <w:pPr>
              <w:pStyle w:val="Compact"/>
              <w:jc w:val="left"/>
            </w:pPr>
            <w:r>
              <w:t xml:space="preserve">$1,800.00</w:t>
            </w:r>
          </w:p>
        </w:tc>
      </w:tr>
      <w:tr>
        <w:tc>
          <w:tcPr/>
          <w:p>
            <w:pPr>
              <w:pStyle w:val="Compact"/>
              <w:jc w:val="left"/>
            </w:pPr>
            <w:r>
              <w:t xml:space="preserve">Travel, Printing &amp; Miscellaneous Disbursements</w:t>
            </w:r>
          </w:p>
        </w:tc>
        <w:tc>
          <w:tcPr/>
          <w:p>
            <w:pPr>
              <w:pStyle w:val="Compact"/>
              <w:jc w:val="left"/>
            </w:pPr>
            <w:r>
              <w:t xml:space="preserve">—</w:t>
            </w:r>
          </w:p>
        </w:tc>
        <w:tc>
          <w:tcPr/>
          <w:p>
            <w:pPr>
              <w:pStyle w:val="Compact"/>
              <w:jc w:val="left"/>
            </w:pPr>
            <w:r>
              <w:t xml:space="preserve">—</w:t>
            </w:r>
          </w:p>
        </w:tc>
        <w:tc>
          <w:tcPr/>
          <w:p>
            <w:pPr>
              <w:pStyle w:val="Compact"/>
              <w:jc w:val="left"/>
            </w:pPr>
            <w:r>
              <w:t xml:space="preserve">$850.00</w:t>
            </w:r>
          </w:p>
        </w:tc>
      </w:tr>
      <w:tr>
        <w:tc>
          <w:tcPr/>
          <w:p>
            <w:pPr>
              <w:pStyle w:val="Compact"/>
              <w:jc w:val="left"/>
            </w:pPr>
            <w:r>
              <w:rPr>
                <w:bCs/>
                <w:b/>
              </w:rPr>
              <w:t xml:space="preserve">Subtotal – Disbursements</w:t>
            </w:r>
          </w:p>
        </w:tc>
        <w:tc>
          <w:tcPr/>
          <w:p>
            <w:pPr>
              <w:pStyle w:val="Compact"/>
              <w:jc w:val="left"/>
            </w:pPr>
            <w:r>
              <w:t xml:space="preserve">—</w:t>
            </w:r>
          </w:p>
        </w:tc>
        <w:tc>
          <w:tcPr/>
          <w:p>
            <w:pPr>
              <w:pStyle w:val="Compact"/>
              <w:jc w:val="left"/>
            </w:pPr>
            <w:r>
              <w:t xml:space="preserve">—</w:t>
            </w:r>
          </w:p>
        </w:tc>
        <w:tc>
          <w:tcPr/>
          <w:p>
            <w:pPr>
              <w:pStyle w:val="Compact"/>
              <w:jc w:val="left"/>
            </w:pPr>
            <w:r>
              <w:rPr>
                <w:bCs/>
                <w:b/>
              </w:rPr>
              <w:t xml:space="preserve">$7,390.00</w:t>
            </w:r>
          </w:p>
        </w:tc>
      </w:tr>
      <w:tr>
        <w:tc>
          <w:tcPr/>
          <w:p>
            <w:pPr>
              <w:pStyle w:val="Compact"/>
              <w:jc w:val="left"/>
            </w:pPr>
            <w:r>
              <w:rPr>
                <w:bCs/>
                <w:b/>
              </w:rPr>
              <w:t xml:space="preserve">TOTAL ESTIMATED COST (Before Taxes)</w:t>
            </w:r>
          </w:p>
        </w:tc>
        <w:tc>
          <w:tcPr/>
          <w:p>
            <w:pPr>
              <w:pStyle w:val="Compact"/>
              <w:jc w:val="left"/>
            </w:pPr>
            <w:r>
              <w:t xml:space="preserve">—</w:t>
            </w:r>
          </w:p>
        </w:tc>
        <w:tc>
          <w:tcPr/>
          <w:p>
            <w:pPr>
              <w:pStyle w:val="Compact"/>
              <w:jc w:val="left"/>
            </w:pPr>
            <w:r>
              <w:t xml:space="preserve">—</w:t>
            </w:r>
          </w:p>
        </w:tc>
        <w:tc>
          <w:tcPr/>
          <w:p>
            <w:pPr>
              <w:pStyle w:val="Compact"/>
              <w:jc w:val="left"/>
            </w:pPr>
            <w:r>
              <w:rPr>
                <w:bCs/>
                <w:b/>
              </w:rPr>
              <w:t xml:space="preserve">$41,940.00</w:t>
            </w:r>
          </w:p>
        </w:tc>
      </w:tr>
      <w:tr>
        <w:tc>
          <w:tcPr/>
          <w:p>
            <w:pPr>
              <w:pStyle w:val="Compact"/>
              <w:jc w:val="left"/>
            </w:pPr>
            <w:r>
              <w:t xml:space="preserve">QST (5%)</w:t>
            </w:r>
          </w:p>
        </w:tc>
        <w:tc>
          <w:tcPr/>
          <w:p>
            <w:pPr>
              <w:pStyle w:val="Compact"/>
              <w:jc w:val="left"/>
            </w:pPr>
            <w:r>
              <w:t xml:space="preserve">—</w:t>
            </w:r>
          </w:p>
        </w:tc>
        <w:tc>
          <w:tcPr/>
          <w:p>
            <w:pPr>
              <w:pStyle w:val="Compact"/>
              <w:jc w:val="left"/>
            </w:pPr>
            <w:r>
              <w:t xml:space="preserve">—</w:t>
            </w:r>
          </w:p>
        </w:tc>
        <w:tc>
          <w:tcPr/>
          <w:p>
            <w:pPr>
              <w:pStyle w:val="Compact"/>
              <w:jc w:val="left"/>
            </w:pPr>
            <w:r>
              <w:t xml:space="preserve">$2,097.00</w:t>
            </w:r>
          </w:p>
        </w:tc>
      </w:tr>
      <w:tr>
        <w:tc>
          <w:tcPr/>
          <w:p>
            <w:pPr>
              <w:pStyle w:val="Compact"/>
              <w:jc w:val="left"/>
            </w:pPr>
            <w:r>
              <w:t xml:space="preserve">GST (5%)</w:t>
            </w:r>
          </w:p>
        </w:tc>
        <w:tc>
          <w:tcPr/>
          <w:p>
            <w:pPr>
              <w:pStyle w:val="Compact"/>
              <w:jc w:val="left"/>
            </w:pPr>
            <w:r>
              <w:t xml:space="preserve">—</w:t>
            </w:r>
          </w:p>
        </w:tc>
        <w:tc>
          <w:tcPr/>
          <w:p>
            <w:pPr>
              <w:pStyle w:val="Compact"/>
              <w:jc w:val="left"/>
            </w:pPr>
            <w:r>
              <w:t xml:space="preserve">—</w:t>
            </w:r>
          </w:p>
        </w:tc>
        <w:tc>
          <w:tcPr/>
          <w:p>
            <w:pPr>
              <w:pStyle w:val="Compact"/>
              <w:jc w:val="left"/>
            </w:pPr>
            <w:r>
              <w:t xml:space="preserve">$2,097.00</w:t>
            </w:r>
          </w:p>
        </w:tc>
      </w:tr>
      <w:tr>
        <w:tc>
          <w:tcPr/>
          <w:p>
            <w:pPr>
              <w:pStyle w:val="Compact"/>
              <w:jc w:val="left"/>
            </w:pPr>
            <w:r>
              <w:rPr>
                <w:bCs/>
                <w:b/>
              </w:rPr>
              <w:t xml:space="preserve">GRAND TOTAL (Including Taxes)</w:t>
            </w:r>
          </w:p>
        </w:tc>
        <w:tc>
          <w:tcPr/>
          <w:p>
            <w:pPr>
              <w:pStyle w:val="Compact"/>
              <w:jc w:val="left"/>
            </w:pPr>
            <w:r>
              <w:t xml:space="preserve">—</w:t>
            </w:r>
          </w:p>
        </w:tc>
        <w:tc>
          <w:tcPr/>
          <w:p>
            <w:pPr>
              <w:pStyle w:val="Compact"/>
              <w:jc w:val="left"/>
            </w:pPr>
            <w:r>
              <w:t xml:space="preserve">—</w:t>
            </w:r>
          </w:p>
        </w:tc>
        <w:tc>
          <w:tcPr/>
          <w:p>
            <w:pPr>
              <w:pStyle w:val="Compact"/>
              <w:jc w:val="left"/>
            </w:pPr>
            <w:r>
              <w:rPr>
                <w:bCs/>
                <w:b/>
              </w:rPr>
              <w:t xml:space="preserve">$46,134.00</w:t>
            </w:r>
          </w:p>
        </w:tc>
      </w:tr>
    </w:tbl>
    <w:p>
      <w:pPr>
        <w:pStyle w:val="BodyText"/>
      </w:pPr>
      <w:r>
        <w:rPr>
          <w:iCs/>
          <w:i/>
        </w:rPr>
        <w:t xml:space="preserve">Note: This Quotation Estimate is based on the current facts and circumstances of the matter. The Lawyer reserves the right to adjust the estimated hours if the scope of work changes materially. All rates are current as of the date of issuance in Canada Montreal.</w:t>
      </w:r>
    </w:p>
    <w:bookmarkEnd w:id="25"/>
    <w:bookmarkStart w:id="26" w:name="payment-terms"/>
    <w:p>
      <w:pPr>
        <w:pStyle w:val="Heading2"/>
      </w:pPr>
      <w:r>
        <w:t xml:space="preserve">4. Payment Terms</w:t>
      </w:r>
    </w:p>
    <w:p>
      <w:pPr>
        <w:pStyle w:val="FirstParagraph"/>
      </w:pPr>
      <w:r>
        <w:t xml:space="preserve">The client shall provide a retainer deposit of</w:t>
      </w:r>
      <w:r>
        <w:t xml:space="preserve"> </w:t>
      </w:r>
      <w:r>
        <w:rPr>
          <w:bCs/>
          <w:b/>
        </w:rPr>
        <w:t xml:space="preserve">$10,000.00 CAD</w:t>
      </w:r>
      <w:r>
        <w:t xml:space="preserve"> </w:t>
      </w:r>
      <w:r>
        <w:t xml:space="preserve">within ten (10) business days of accepting this Quotation Estimate. The retainer shall be held in the firm's trust account in Canada Montreal and applied against invoices as they are rendered. Subsequent invoices will be issued on a monthly basis. Payment is due within thirty (30) days of the invoice date. The Lawyer and firm reserve the right to suspend work if the retainer balance falls below $2,500.00 and is not replenished within fourteen (14) days of written notice.</w:t>
      </w:r>
    </w:p>
    <w:bookmarkEnd w:id="26"/>
    <w:bookmarkStart w:id="27" w:name="validity-and-acceptance"/>
    <w:p>
      <w:pPr>
        <w:pStyle w:val="Heading2"/>
      </w:pPr>
      <w:r>
        <w:t xml:space="preserve">5. Validity and Acceptance</w:t>
      </w:r>
    </w:p>
    <w:p>
      <w:pPr>
        <w:pStyle w:val="FirstParagraph"/>
      </w:pPr>
      <w:r>
        <w:t xml:space="preserve">This Quotation Estimate is valid for a period of thirty (30) days from the date of issuance. Acceptance of this Quotation Estimate constitutes the client's agreement to the terms, conditions, and fee structure outlined herein. The client acknowledges that the Lawyer will act in accordance with the Code of Professional Conduct of the Barreau du Québec and the applicable legislation of the Province of Québec, Canada. This Quotation Estimate does not constitute a guarantee of outcome and the Lawyer makes no representation as to the result of the litigation.</w:t>
      </w:r>
    </w:p>
    <w:bookmarkEnd w:id="27"/>
    <w:bookmarkStart w:id="28" w:name="terms-and-conditions"/>
    <w:p>
      <w:pPr>
        <w:pStyle w:val="Heading2"/>
      </w:pPr>
      <w:r>
        <w:t xml:space="preserve">6. Terms and Conditions</w:t>
      </w:r>
    </w:p>
    <w:p>
      <w:pPr>
        <w:numPr>
          <w:ilvl w:val="0"/>
          <w:numId w:val="1002"/>
        </w:numPr>
        <w:pStyle w:val="Compact"/>
      </w:pPr>
      <w:r>
        <w:t xml:space="preserve">This Quotation Estimate is prepared exclusively for the named client and may not be transferred or assigned without the prior written consent of Bouchard &amp; Tremblay LLP.</w:t>
      </w:r>
    </w:p>
    <w:p>
      <w:pPr>
        <w:numPr>
          <w:ilvl w:val="0"/>
          <w:numId w:val="1002"/>
        </w:numPr>
        <w:pStyle w:val="Compact"/>
      </w:pPr>
      <w:r>
        <w:t xml:space="preserve">The Lawyer shall maintain professional confidentiality in accordance with the rules of the Barreau du Québec and the Privacy Act applicable in Canada Montreal.</w:t>
      </w:r>
    </w:p>
    <w:p>
      <w:pPr>
        <w:numPr>
          <w:ilvl w:val="0"/>
          <w:numId w:val="1002"/>
        </w:numPr>
        <w:pStyle w:val="Compact"/>
      </w:pPr>
      <w:r>
        <w:t xml:space="preserve">All communications between the Lawyer and the client are protected by solicitor-client privilege.</w:t>
      </w:r>
    </w:p>
    <w:p>
      <w:pPr>
        <w:numPr>
          <w:ilvl w:val="0"/>
          <w:numId w:val="1002"/>
        </w:numPr>
        <w:pStyle w:val="Compact"/>
      </w:pPr>
      <w:r>
        <w:t xml:space="preserve">In the event of a conflict of interest arising, the Lawyer shall immediately notify the client and may withdraw from the matter in accordance with professional obligations.</w:t>
      </w:r>
    </w:p>
    <w:p>
      <w:pPr>
        <w:numPr>
          <w:ilvl w:val="0"/>
          <w:numId w:val="1002"/>
        </w:numPr>
        <w:pStyle w:val="Compact"/>
      </w:pPr>
      <w:r>
        <w:t xml:space="preserve">This Quotation Estimate is governed by the laws of the Province of Québec and the federal laws of Canada applicable therein. Any disputes regarding this Quotation Estimate shall be resolved in the courts of Canada Montreal.</w:t>
      </w:r>
    </w:p>
    <w:p>
      <w:pPr>
        <w:numPr>
          <w:ilvl w:val="0"/>
          <w:numId w:val="1002"/>
        </w:numPr>
        <w:pStyle w:val="Compact"/>
      </w:pPr>
      <w:r>
        <w:t xml:space="preserve">The firm's professional liability insurance is maintained with a coverage limit of $5,000,000 CAD per occurrence, as required by the Barreau du Québec.</w:t>
      </w:r>
    </w:p>
    <w:p>
      <w:pPr>
        <w:numPr>
          <w:ilvl w:val="0"/>
          <w:numId w:val="1002"/>
        </w:numPr>
        <w:pStyle w:val="Compact"/>
      </w:pPr>
      <w:r>
        <w:t xml:space="preserve">Client files shall be retained for a minimum of seven (7) years following the conclusion of the matter, in compliance with Québec record-keeping regulations.</w:t>
      </w:r>
    </w:p>
    <w:bookmarkEnd w:id="28"/>
    <w:bookmarkStart w:id="29" w:name="acceptance"/>
    <w:p>
      <w:pPr>
        <w:pStyle w:val="Heading2"/>
      </w:pPr>
      <w:r>
        <w:t xml:space="preserve">7. Acceptance</w:t>
      </w:r>
    </w:p>
    <w:p>
      <w:pPr>
        <w:pStyle w:val="FirstParagraph"/>
      </w:pPr>
      <w:r>
        <w:t xml:space="preserve">By signing below, the client acknowledges receipt of this Quotation Estimate and agrees to the terms, conditions, and fee structure set forth by the Lawyer at Bouchard &amp; Tremblay LLP, Canada Montreal.</w:t>
      </w:r>
    </w:p>
    <w:bookmarkEnd w:id="29"/>
    <w:p>
      <w:pPr>
        <w:pStyle w:val="BodyText"/>
      </w:pPr>
      <w:r>
        <w:rPr>
          <w:bCs/>
          <w:b/>
        </w:rPr>
        <w:t xml:space="preserve">For the Client:</w:t>
      </w:r>
    </w:p>
    <w:p>
      <w:pPr>
        <w:pStyle w:val="BodyText"/>
      </w:pPr>
      <w:r>
        <w:t xml:space="preserve">Name: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Bouchard &amp; Tremblay LLP:</w:t>
      </w:r>
    </w:p>
    <w:p>
      <w:pPr>
        <w:pStyle w:val="BodyText"/>
      </w:pPr>
      <w:r>
        <w:t xml:space="preserve">Name: Me. Catherine Bouchard, Lawyer</w:t>
      </w:r>
    </w:p>
    <w:p>
      <w:pPr>
        <w:pStyle w:val="BodyText"/>
      </w:pPr>
      <w:r>
        <w:t xml:space="preserve">Signature: ______________________________</w:t>
      </w:r>
    </w:p>
    <w:p>
      <w:pPr>
        <w:pStyle w:val="BodyText"/>
      </w:pPr>
      <w:r>
        <w:t xml:space="preserve">Date: ______________________________</w:t>
      </w:r>
    </w:p>
    <w:p>
      <w:pPr>
        <w:pStyle w:val="BodyText"/>
      </w:pPr>
      <w:r>
        <w:t xml:space="preserve">QUOTATION ESTIMATE</w:t>
      </w:r>
      <w:r>
        <w:t xml:space="preserve"> </w:t>
      </w:r>
      <w:r>
        <w:t xml:space="preserve"> |  Bouchard &amp; Tremblay LLP  |  Canada Montreal, QC  |  QTE-2025-04871</w:t>
      </w:r>
    </w:p>
    <w:p>
      <w:pPr>
        <w:pStyle w:val="BodyText"/>
      </w:pPr>
      <w:r>
        <w:t xml:space="preserve">This document is a Quotation Estimate for professional legal services provided by a Lawyer practising in Canada Montreal. It is not a contract of employment but a good-faith estimate of anticipated costs. All rights reserved. © 2025 Bouchard &amp; Tremblay LLP.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Canada Montreal</dc:title>
  <dc:creator/>
  <dc:language>en</dc:language>
  <cp:keywords/>
  <dcterms:created xsi:type="dcterms:W3CDTF">2026-10-10T06:27:08Z</dcterms:created>
  <dcterms:modified xsi:type="dcterms:W3CDTF">2026-10-10T06:27:08Z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