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Vancouver,</w:t>
      </w:r>
      <w:r>
        <w:t xml:space="preserve"> </w:t>
      </w:r>
      <w:r>
        <w:t xml:space="preserve">Canada</w:t>
      </w:r>
    </w:p>
    <w:bookmarkStart w:id="20" w:name="quotation-estimate"/>
    <w:p>
      <w:pPr>
        <w:pStyle w:val="Heading1"/>
      </w:pPr>
      <w:r>
        <w:t xml:space="preserve">QUOTATION ESTIMATE</w:t>
      </w:r>
    </w:p>
    <w:p>
      <w:pPr>
        <w:pStyle w:val="FirstParagraph"/>
      </w:pPr>
      <w:r>
        <w:t xml:space="preserve">Professional Legal Services — Vancouver, Canada</w:t>
      </w:r>
    </w:p>
    <w:bookmarkEnd w:id="20"/>
    <w:p>
      <w:pPr>
        <w:pStyle w:val="BodyText"/>
      </w:pPr>
      <w:r>
        <w:rPr>
          <w:bCs/>
          <w:b/>
        </w:rPr>
        <w:t xml:space="preserve">Quotation Estimate No.:</w:t>
      </w:r>
      <w:r>
        <w:t xml:space="preserve"> </w:t>
      </w:r>
      <w:r>
        <w:t xml:space="preserve">QTE-2025-04872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br/>
      </w:r>
      <w:r>
        <w:t xml:space="preserve">Ashford &amp; Chen Legal LLP</w:t>
      </w:r>
      <w:r>
        <w:br/>
      </w:r>
      <w:r>
        <w:t xml:space="preserve">1200 West Georgia Street, Suite 2400</w:t>
      </w:r>
      <w:r>
        <w:br/>
      </w:r>
      <w:r>
        <w:t xml:space="preserve">Vancouver, British Columbia, Canada V6E 4G1</w:t>
      </w:r>
      <w:r>
        <w:br/>
      </w:r>
      <w:r>
        <w:t xml:space="preserve">Tel: (604) 555-0198</w:t>
      </w:r>
      <w:r>
        <w:br/>
      </w:r>
      <w:r>
        <w:t xml:space="preserve">Email: intake@ashfordchenlegal.ca</w:t>
      </w:r>
    </w:p>
    <w:p>
      <w:pPr>
        <w:pStyle w:val="BodyText"/>
      </w:pPr>
      <w:r>
        <w:rPr>
          <w:bCs/>
          <w:b/>
        </w:rPr>
        <w:t xml:space="preserve">Prepared For:</w:t>
      </w:r>
      <w:r>
        <w:br/>
      </w:r>
      <w:r>
        <w:t xml:space="preserve">Mr. David R. Thompson</w:t>
      </w:r>
      <w:r>
        <w:br/>
      </w:r>
      <w:r>
        <w:t xml:space="preserve">4821 Oakridge Avenue</w:t>
      </w:r>
      <w:r>
        <w:br/>
      </w:r>
      <w:r>
        <w:t xml:space="preserve">Vancouver, British Columbia, Canada V6M 2B4</w:t>
      </w:r>
      <w:r>
        <w:br/>
      </w:r>
      <w:r>
        <w:t xml:space="preserve">Tel: (604) 555-7732</w:t>
      </w:r>
      <w:r>
        <w:br/>
      </w:r>
      <w:r>
        <w:t xml:space="preserve">Email: d.thompson@email.com</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Ashford &amp; Chen Legal LLP, a registered law firm practising in</w:t>
      </w:r>
      <w:r>
        <w:t xml:space="preserve"> </w:t>
      </w:r>
      <w:r>
        <w:t xml:space="preserve">Canada Vancouver</w:t>
      </w:r>
      <w:r>
        <w:t xml:space="preserve">, to provide Mr. David R. Thompson with a comprehensive and transparent breakdown of anticipated legal fees and associated costs for the engagement of a</w:t>
      </w:r>
      <w:r>
        <w:t xml:space="preserve"> </w:t>
      </w:r>
      <w:r>
        <w:t xml:space="preserve">Lawyer</w:t>
      </w:r>
      <w:r>
        <w:t xml:space="preserve"> </w:t>
      </w:r>
      <w:r>
        <w:t xml:space="preserve">to represent his interests in a commercial property dispute matter. This document serves as a formal</w:t>
      </w:r>
      <w:r>
        <w:t xml:space="preserve"> </w:t>
      </w:r>
      <w:r>
        <w:t xml:space="preserve">Quotation Estimate</w:t>
      </w:r>
      <w:r>
        <w:t xml:space="preserve"> </w:t>
      </w:r>
      <w:r>
        <w:t xml:space="preserve">in accordance with the Law Society of British Columbia's rules governing fee transparency and client communication. All figures presented herein are estimates based on the current scope of work and applicable rates in the</w:t>
      </w:r>
      <w:r>
        <w:t xml:space="preserve"> </w:t>
      </w:r>
      <w:r>
        <w:t xml:space="preserve">Canada Vancouver</w:t>
      </w:r>
      <w:r>
        <w:t xml:space="preserve"> </w:t>
      </w:r>
      <w:r>
        <w:t xml:space="preserve">legal market as of the date of issuance.</w:t>
      </w:r>
    </w:p>
    <w:p>
      <w:pPr>
        <w:pStyle w:val="BodyText"/>
      </w:pPr>
      <w:r>
        <w:t xml:space="preserve">2. Scope of Legal Services</w:t>
      </w:r>
    </w:p>
    <w:p>
      <w:pPr>
        <w:pStyle w:val="BodyText"/>
      </w:pPr>
      <w:r>
        <w:t xml:space="preserve">The</w:t>
      </w:r>
      <w:r>
        <w:t xml:space="preserve"> </w:t>
      </w:r>
      <w:r>
        <w:t xml:space="preserve">Lawyer</w:t>
      </w:r>
      <w:r>
        <w:t xml:space="preserve"> </w:t>
      </w:r>
      <w:r>
        <w:t xml:space="preserve">assigned to this matter, Senior Associate Katherine M. Ashford, Barrister &amp; Solicitor (BC), will provide the following services on behalf of the client in this</w:t>
      </w:r>
      <w:r>
        <w:t xml:space="preserve"> </w:t>
      </w:r>
      <w:r>
        <w:t xml:space="preserve">Quotation Estimate</w:t>
      </w:r>
      <w:r>
        <w:t xml:space="preserve">:</w:t>
      </w:r>
    </w:p>
    <w:p>
      <w:pPr>
        <w:numPr>
          <w:ilvl w:val="0"/>
          <w:numId w:val="1001"/>
        </w:numPr>
        <w:pStyle w:val="Compact"/>
      </w:pPr>
      <w:r>
        <w:t xml:space="preserve">Initial consultation and comprehensive case assessment of the commercial property dispute involving the Oakridge Business Park leasehold interest.</w:t>
      </w:r>
    </w:p>
    <w:p>
      <w:pPr>
        <w:numPr>
          <w:ilvl w:val="0"/>
          <w:numId w:val="1001"/>
        </w:numPr>
        <w:pStyle w:val="Compact"/>
      </w:pPr>
      <w:r>
        <w:t xml:space="preserve">Preparation and service of a formal Notice of Claim and Statement of Claim in the Supreme Court of British Columbia, Vancouver Registry.</w:t>
      </w:r>
    </w:p>
    <w:p>
      <w:pPr>
        <w:numPr>
          <w:ilvl w:val="0"/>
          <w:numId w:val="1001"/>
        </w:numPr>
        <w:pStyle w:val="Compact"/>
      </w:pPr>
      <w:r>
        <w:t xml:space="preserve">Conduct of all necessary pre-trial discovery, including examinations for discovery, production of documents, and written questions.</w:t>
      </w:r>
    </w:p>
    <w:p>
      <w:pPr>
        <w:numPr>
          <w:ilvl w:val="0"/>
          <w:numId w:val="1001"/>
        </w:numPr>
        <w:pStyle w:val="Compact"/>
      </w:pPr>
      <w:r>
        <w:t xml:space="preserve">Preparation of all court filings, motions, and supporting affidavits required throughout the litigation process in</w:t>
      </w:r>
      <w:r>
        <w:t xml:space="preserve"> </w:t>
      </w:r>
      <w:r>
        <w:t xml:space="preserve">Canada Vancouver</w:t>
      </w:r>
      <w:r>
        <w:t xml:space="preserve">.</w:t>
      </w:r>
    </w:p>
    <w:p>
      <w:pPr>
        <w:numPr>
          <w:ilvl w:val="0"/>
          <w:numId w:val="1001"/>
        </w:numPr>
        <w:pStyle w:val="Compact"/>
      </w:pPr>
      <w:r>
        <w:t xml:space="preserve">Representation at all pre-trial conferences, settlement conferences, and the trial itself before a Justice of the Supreme Court of British Columbia.</w:t>
      </w:r>
    </w:p>
    <w:p>
      <w:pPr>
        <w:numPr>
          <w:ilvl w:val="0"/>
          <w:numId w:val="1001"/>
        </w:numPr>
        <w:pStyle w:val="Compact"/>
      </w:pPr>
      <w:r>
        <w:t xml:space="preserve">Post-judgment enforcement proceedings, if applicable, including garnishment and registration of judgment against the defendant's property in the Vancouver land title registry.</w:t>
      </w:r>
    </w:p>
    <w:p>
      <w:pPr>
        <w:numPr>
          <w:ilvl w:val="0"/>
          <w:numId w:val="1001"/>
        </w:numPr>
        <w:pStyle w:val="Compact"/>
      </w:pPr>
      <w:r>
        <w:t xml:space="preserve">Ongoing legal advice and correspondence with the client throughout the duration of the engagement.</w:t>
      </w:r>
    </w:p>
    <w:p>
      <w:pPr>
        <w:pStyle w:val="FirstParagraph"/>
      </w:pPr>
      <w:r>
        <w:t xml:space="preserve">3. Fee Schedule and Cost Breakdown</w:t>
      </w:r>
    </w:p>
    <w:p>
      <w:pPr>
        <w:pStyle w:val="BodyText"/>
      </w:pPr>
      <w:r>
        <w:t xml:space="preserve">The following</w:t>
      </w:r>
      <w:r>
        <w:t xml:space="preserve"> </w:t>
      </w:r>
      <w:r>
        <w:t xml:space="preserve">Quotation Estimate</w:t>
      </w:r>
      <w:r>
        <w:t xml:space="preserve"> </w:t>
      </w:r>
      <w:r>
        <w:t xml:space="preserve">outlines the anticipated fees for the</w:t>
      </w:r>
      <w:r>
        <w:t xml:space="preserve"> </w:t>
      </w:r>
      <w:r>
        <w:t xml:space="preserve">Lawyer</w:t>
      </w:r>
      <w:r>
        <w:t xml:space="preserve">'s professional services. All rates reflect the standard billing structure for commercial litigation matters in</w:t>
      </w:r>
      <w:r>
        <w:t xml:space="preserve"> </w:t>
      </w:r>
      <w:r>
        <w:t xml:space="preserve">Canada Vancouver</w:t>
      </w:r>
      <w:r>
        <w:t xml:space="preserve"> </w:t>
      </w:r>
      <w:r>
        <w:t xml:space="preserve">and are subject to the Law Society of British Columbia's fee guidelines.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Component</w:t>
            </w:r>
          </w:p>
        </w:tc>
        <w:tc>
          <w:tcPr/>
          <w:p>
            <w:pPr>
              <w:pStyle w:val="Compact"/>
              <w:jc w:val="left"/>
            </w:pPr>
            <w:r>
              <w:t xml:space="preserve">Estimated Hours</w:t>
            </w:r>
          </w:p>
        </w:tc>
        <w:tc>
          <w:tcPr/>
          <w:p>
            <w:pPr>
              <w:pStyle w:val="Compact"/>
              <w:jc w:val="left"/>
            </w:pPr>
            <w:r>
              <w:t xml:space="preserve">Hourly Rate (CAD)</w:t>
            </w:r>
          </w:p>
        </w:tc>
        <w:tc>
          <w:tcPr/>
          <w:p>
            <w:pPr>
              <w:pStyle w:val="Compact"/>
              <w:jc w:val="left"/>
            </w:pPr>
            <w:r>
              <w:t xml:space="preserve">Estimated Cost (CAD)</w:t>
            </w:r>
          </w:p>
        </w:tc>
      </w:tr>
      <w:tr>
        <w:tc>
          <w:tcPr/>
          <w:p>
            <w:pPr>
              <w:pStyle w:val="Compact"/>
              <w:jc w:val="left"/>
            </w:pPr>
            <w:r>
              <w:t xml:space="preserve">Initial Consultation &amp; Case Assessment</w:t>
            </w:r>
          </w:p>
        </w:tc>
        <w:tc>
          <w:tcPr/>
          <w:p>
            <w:pPr>
              <w:pStyle w:val="Compact"/>
              <w:jc w:val="left"/>
            </w:pPr>
            <w:r>
              <w:t xml:space="preserve">4.0</w:t>
            </w:r>
          </w:p>
        </w:tc>
        <w:tc>
          <w:tcPr/>
          <w:p>
            <w:pPr>
              <w:pStyle w:val="Compact"/>
              <w:jc w:val="left"/>
            </w:pPr>
            <w:r>
              <w:t xml:space="preserve">$325.00</w:t>
            </w:r>
          </w:p>
        </w:tc>
        <w:tc>
          <w:tcPr/>
          <w:p>
            <w:pPr>
              <w:pStyle w:val="Compact"/>
              <w:jc w:val="left"/>
            </w:pPr>
            <w:r>
              <w:t xml:space="preserve">$1,300.00</w:t>
            </w:r>
          </w:p>
        </w:tc>
      </w:tr>
      <w:tr>
        <w:tc>
          <w:tcPr/>
          <w:p>
            <w:pPr>
              <w:pStyle w:val="Compact"/>
              <w:jc w:val="left"/>
            </w:pPr>
            <w:r>
              <w:t xml:space="preserve">Pleading Preparation &amp; Filing</w:t>
            </w:r>
          </w:p>
        </w:tc>
        <w:tc>
          <w:tcPr/>
          <w:p>
            <w:pPr>
              <w:pStyle w:val="Compact"/>
              <w:jc w:val="left"/>
            </w:pPr>
            <w:r>
              <w:t xml:space="preserve">18.0</w:t>
            </w:r>
          </w:p>
        </w:tc>
        <w:tc>
          <w:tcPr/>
          <w:p>
            <w:pPr>
              <w:pStyle w:val="Compact"/>
              <w:jc w:val="left"/>
            </w:pPr>
            <w:r>
              <w:t xml:space="preserve">$325.00</w:t>
            </w:r>
          </w:p>
        </w:tc>
        <w:tc>
          <w:tcPr/>
          <w:p>
            <w:pPr>
              <w:pStyle w:val="Compact"/>
              <w:jc w:val="left"/>
            </w:pPr>
            <w:r>
              <w:t xml:space="preserve">$5,850.00</w:t>
            </w:r>
          </w:p>
        </w:tc>
      </w:tr>
      <w:tr>
        <w:tc>
          <w:tcPr/>
          <w:p>
            <w:pPr>
              <w:pStyle w:val="Compact"/>
              <w:jc w:val="left"/>
            </w:pPr>
            <w:r>
              <w:t xml:space="preserve">Pre-Trial Discovery &amp; Document Review</w:t>
            </w:r>
          </w:p>
        </w:tc>
        <w:tc>
          <w:tcPr/>
          <w:p>
            <w:pPr>
              <w:pStyle w:val="Compact"/>
              <w:jc w:val="left"/>
            </w:pPr>
            <w:r>
              <w:t xml:space="preserve">32.0</w:t>
            </w:r>
          </w:p>
        </w:tc>
        <w:tc>
          <w:tcPr/>
          <w:p>
            <w:pPr>
              <w:pStyle w:val="Compact"/>
              <w:jc w:val="left"/>
            </w:pPr>
            <w:r>
              <w:t xml:space="preserve">$325.00</w:t>
            </w:r>
          </w:p>
        </w:tc>
        <w:tc>
          <w:tcPr/>
          <w:p>
            <w:pPr>
              <w:pStyle w:val="Compact"/>
              <w:jc w:val="left"/>
            </w:pPr>
            <w:r>
              <w:t xml:space="preserve">$10,400.00</w:t>
            </w:r>
          </w:p>
        </w:tc>
      </w:tr>
      <w:tr>
        <w:tc>
          <w:tcPr/>
          <w:p>
            <w:pPr>
              <w:pStyle w:val="Compact"/>
              <w:jc w:val="left"/>
            </w:pPr>
            <w:r>
              <w:t xml:space="preserve">Motions Practice &amp; Court Appearances</w:t>
            </w:r>
          </w:p>
        </w:tc>
        <w:tc>
          <w:tcPr/>
          <w:p>
            <w:pPr>
              <w:pStyle w:val="Compact"/>
              <w:jc w:val="left"/>
            </w:pPr>
            <w:r>
              <w:t xml:space="preserve">14.0</w:t>
            </w:r>
          </w:p>
        </w:tc>
        <w:tc>
          <w:tcPr/>
          <w:p>
            <w:pPr>
              <w:pStyle w:val="Compact"/>
              <w:jc w:val="left"/>
            </w:pPr>
            <w:r>
              <w:t xml:space="preserve">$325.00</w:t>
            </w:r>
          </w:p>
        </w:tc>
        <w:tc>
          <w:tcPr/>
          <w:p>
            <w:pPr>
              <w:pStyle w:val="Compact"/>
              <w:jc w:val="left"/>
            </w:pPr>
            <w:r>
              <w:t xml:space="preserve">$4,550.00</w:t>
            </w:r>
          </w:p>
        </w:tc>
      </w:tr>
      <w:tr>
        <w:tc>
          <w:tcPr/>
          <w:p>
            <w:pPr>
              <w:pStyle w:val="Compact"/>
              <w:jc w:val="left"/>
            </w:pPr>
            <w:r>
              <w:t xml:space="preserve">Settlement Conference &amp; Negotiation</w:t>
            </w:r>
          </w:p>
        </w:tc>
        <w:tc>
          <w:tcPr/>
          <w:p>
            <w:pPr>
              <w:pStyle w:val="Compact"/>
              <w:jc w:val="left"/>
            </w:pPr>
            <w:r>
              <w:t xml:space="preserve">8.0</w:t>
            </w:r>
          </w:p>
        </w:tc>
        <w:tc>
          <w:tcPr/>
          <w:p>
            <w:pPr>
              <w:pStyle w:val="Compact"/>
              <w:jc w:val="left"/>
            </w:pPr>
            <w:r>
              <w:t xml:space="preserve">$325.00</w:t>
            </w:r>
          </w:p>
        </w:tc>
        <w:tc>
          <w:tcPr/>
          <w:p>
            <w:pPr>
              <w:pStyle w:val="Compact"/>
              <w:jc w:val="left"/>
            </w:pPr>
            <w:r>
              <w:t xml:space="preserve">$2,600.00</w:t>
            </w:r>
          </w:p>
        </w:tc>
      </w:tr>
      <w:tr>
        <w:tc>
          <w:tcPr/>
          <w:p>
            <w:pPr>
              <w:pStyle w:val="Compact"/>
              <w:jc w:val="left"/>
            </w:pPr>
            <w:r>
              <w:t xml:space="preserve">Trial Preparation &amp; Trial Representation</w:t>
            </w:r>
          </w:p>
        </w:tc>
        <w:tc>
          <w:tcPr/>
          <w:p>
            <w:pPr>
              <w:pStyle w:val="Compact"/>
              <w:jc w:val="left"/>
            </w:pPr>
            <w:r>
              <w:t xml:space="preserve">40.0</w:t>
            </w:r>
          </w:p>
        </w:tc>
        <w:tc>
          <w:tcPr/>
          <w:p>
            <w:pPr>
              <w:pStyle w:val="Compact"/>
              <w:jc w:val="left"/>
            </w:pPr>
            <w:r>
              <w:t xml:space="preserve">$325.00</w:t>
            </w:r>
          </w:p>
        </w:tc>
        <w:tc>
          <w:tcPr/>
          <w:p>
            <w:pPr>
              <w:pStyle w:val="Compact"/>
              <w:jc w:val="left"/>
            </w:pPr>
            <w:r>
              <w:t xml:space="preserve">$13,000.00</w:t>
            </w:r>
          </w:p>
        </w:tc>
      </w:tr>
      <w:tr>
        <w:tc>
          <w:tcPr/>
          <w:p>
            <w:pPr>
              <w:pStyle w:val="Compact"/>
              <w:jc w:val="left"/>
            </w:pPr>
            <w:r>
              <w:t xml:space="preserve">Post-Judgment Enforcement</w:t>
            </w:r>
          </w:p>
        </w:tc>
        <w:tc>
          <w:tcPr/>
          <w:p>
            <w:pPr>
              <w:pStyle w:val="Compact"/>
              <w:jc w:val="left"/>
            </w:pPr>
            <w:r>
              <w:t xml:space="preserve">10.0</w:t>
            </w:r>
          </w:p>
        </w:tc>
        <w:tc>
          <w:tcPr/>
          <w:p>
            <w:pPr>
              <w:pStyle w:val="Compact"/>
              <w:jc w:val="left"/>
            </w:pPr>
            <w:r>
              <w:t xml:space="preserve">$325.00</w:t>
            </w:r>
          </w:p>
        </w:tc>
        <w:tc>
          <w:tcPr/>
          <w:p>
            <w:pPr>
              <w:pStyle w:val="Compact"/>
              <w:jc w:val="left"/>
            </w:pPr>
            <w:r>
              <w:t xml:space="preserve">$3,250.00</w:t>
            </w:r>
          </w:p>
        </w:tc>
      </w:tr>
      <w:tr>
        <w:tc>
          <w:tcPr/>
          <w:p>
            <w:pPr>
              <w:pStyle w:val="Compact"/>
              <w:jc w:val="left"/>
            </w:pPr>
            <w:r>
              <w:t xml:space="preserve">Ongoing Client Communication &amp; Advice</w:t>
            </w:r>
          </w:p>
        </w:tc>
        <w:tc>
          <w:tcPr/>
          <w:p>
            <w:pPr>
              <w:pStyle w:val="Compact"/>
              <w:jc w:val="left"/>
            </w:pPr>
            <w:r>
              <w:t xml:space="preserve">12.0</w:t>
            </w:r>
          </w:p>
        </w:tc>
        <w:tc>
          <w:tcPr/>
          <w:p>
            <w:pPr>
              <w:pStyle w:val="Compact"/>
              <w:jc w:val="left"/>
            </w:pPr>
            <w:r>
              <w:t xml:space="preserve">$275.00</w:t>
            </w:r>
          </w:p>
        </w:tc>
        <w:tc>
          <w:tcPr/>
          <w:p>
            <w:pPr>
              <w:pStyle w:val="Compact"/>
              <w:jc w:val="left"/>
            </w:pPr>
            <w:r>
              <w:t xml:space="preserve">$3,300.00</w:t>
            </w:r>
          </w:p>
        </w:tc>
      </w:tr>
      <w:tr>
        <w:tc>
          <w:tcPr/>
          <w:p>
            <w:pPr>
              <w:pStyle w:val="Compact"/>
              <w:jc w:val="left"/>
            </w:pPr>
            <w:r>
              <w:rPr>
                <w:bCs/>
                <w:b/>
              </w:rPr>
              <w:t xml:space="preserve">Total Estimated Professional Fees</w:t>
            </w:r>
          </w:p>
        </w:tc>
        <w:tc>
          <w:tcPr/>
          <w:p>
            <w:pPr>
              <w:pStyle w:val="Compact"/>
              <w:jc w:val="left"/>
            </w:pPr>
            <w:r>
              <w:rPr>
                <w:bCs/>
                <w:b/>
              </w:rPr>
              <w:t xml:space="preserve">138.0</w:t>
            </w:r>
          </w:p>
        </w:tc>
        <w:tc>
          <w:tcPr/>
          <w:p>
            <w:pPr>
              <w:pStyle w:val="Compact"/>
            </w:pPr>
          </w:p>
        </w:tc>
        <w:tc>
          <w:tcPr/>
          <w:p>
            <w:pPr>
              <w:pStyle w:val="Compact"/>
              <w:jc w:val="left"/>
            </w:pPr>
            <w:r>
              <w:rPr>
                <w:bCs/>
                <w:b/>
              </w:rPr>
              <w:t xml:space="preserve">$44,250.00</w:t>
            </w:r>
          </w:p>
        </w:tc>
      </w:tr>
    </w:tbl>
    <w:p>
      <w:pPr>
        <w:pStyle w:val="BodyText"/>
      </w:pPr>
      <w:r>
        <w:t xml:space="preserve">4. Disbursements and Additional Costs</w:t>
      </w:r>
    </w:p>
    <w:p>
      <w:pPr>
        <w:pStyle w:val="BodyText"/>
      </w:pPr>
      <w:r>
        <w:t xml:space="preserve">In addition to the professional fees outlined in this</w:t>
      </w:r>
      <w:r>
        <w:t xml:space="preserve"> </w:t>
      </w:r>
      <w:r>
        <w:t xml:space="preserve">Quotation Estimate</w:t>
      </w:r>
      <w:r>
        <w:t xml:space="preserve">, the following disbursements are anticipated for the</w:t>
      </w:r>
      <w:r>
        <w:t xml:space="preserve"> </w:t>
      </w:r>
      <w:r>
        <w:t xml:space="preserve">Lawyer</w:t>
      </w:r>
      <w:r>
        <w:t xml:space="preserve">'s engagement in this</w:t>
      </w:r>
      <w:r>
        <w:t xml:space="preserve"> </w:t>
      </w:r>
      <w:r>
        <w:t xml:space="preserve">Canada Vancouver</w:t>
      </w:r>
      <w:r>
        <w:t xml:space="preserve"> </w:t>
      </w:r>
      <w:r>
        <w:t xml:space="preserve">matter. These costs are billed at actual and are not included in the professional fee total above: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Disbursement Item</w:t>
            </w:r>
          </w:p>
        </w:tc>
        <w:tc>
          <w:tcPr/>
          <w:p>
            <w:pPr>
              <w:pStyle w:val="Compact"/>
              <w:jc w:val="left"/>
            </w:pPr>
            <w:r>
              <w:t xml:space="preserve">Estimated Amount (CAD)</w:t>
            </w:r>
          </w:p>
        </w:tc>
      </w:tr>
      <w:tr>
        <w:tc>
          <w:tcPr/>
          <w:p>
            <w:pPr>
              <w:pStyle w:val="Compact"/>
              <w:jc w:val="left"/>
            </w:pPr>
            <w:r>
              <w:t xml:space="preserve">Court Filing Fees (Supreme Court of BC, Vancouver)</w:t>
            </w:r>
          </w:p>
        </w:tc>
        <w:tc>
          <w:tcPr/>
          <w:p>
            <w:pPr>
              <w:pStyle w:val="Compact"/>
              <w:jc w:val="left"/>
            </w:pPr>
            <w:r>
              <w:t xml:space="preserve">$1,250.00</w:t>
            </w:r>
          </w:p>
        </w:tc>
      </w:tr>
      <w:tr>
        <w:tc>
          <w:tcPr/>
          <w:p>
            <w:pPr>
              <w:pStyle w:val="Compact"/>
              <w:jc w:val="left"/>
            </w:pPr>
            <w:r>
              <w:t xml:space="preserve">Service of Process (Registered Process Server)</w:t>
            </w:r>
          </w:p>
        </w:tc>
        <w:tc>
          <w:tcPr/>
          <w:p>
            <w:pPr>
              <w:pStyle w:val="Compact"/>
              <w:jc w:val="left"/>
            </w:pPr>
            <w:r>
              <w:t xml:space="preserve">$450.00</w:t>
            </w:r>
          </w:p>
        </w:tc>
      </w:tr>
      <w:tr>
        <w:tc>
          <w:tcPr/>
          <w:p>
            <w:pPr>
              <w:pStyle w:val="Compact"/>
              <w:jc w:val="left"/>
            </w:pPr>
            <w:r>
              <w:t xml:space="preserve">Transcript Costs (Discovery &amp; Trial)</w:t>
            </w:r>
          </w:p>
        </w:tc>
        <w:tc>
          <w:tcPr/>
          <w:p>
            <w:pPr>
              <w:pStyle w:val="Compact"/>
              <w:jc w:val="left"/>
            </w:pPr>
            <w:r>
              <w:t xml:space="preserve">$3,800.00</w:t>
            </w:r>
          </w:p>
        </w:tc>
      </w:tr>
      <w:tr>
        <w:tc>
          <w:tcPr/>
          <w:p>
            <w:pPr>
              <w:pStyle w:val="Compact"/>
              <w:jc w:val="left"/>
            </w:pPr>
            <w:r>
              <w:t xml:space="preserve">Expert Witness Retainer &amp; Fees (Property Valuation)</w:t>
            </w:r>
          </w:p>
        </w:tc>
        <w:tc>
          <w:tcPr/>
          <w:p>
            <w:pPr>
              <w:pStyle w:val="Compact"/>
              <w:jc w:val="left"/>
            </w:pPr>
            <w:r>
              <w:t xml:space="preserve">$6,500.00</w:t>
            </w:r>
          </w:p>
        </w:tc>
      </w:tr>
      <w:tr>
        <w:tc>
          <w:tcPr/>
          <w:p>
            <w:pPr>
              <w:pStyle w:val="Compact"/>
              <w:jc w:val="left"/>
            </w:pPr>
            <w:r>
              <w:t xml:space="preserve">Land Title &amp; Registry Searches (Vancouver)</w:t>
            </w:r>
          </w:p>
        </w:tc>
        <w:tc>
          <w:tcPr/>
          <w:p>
            <w:pPr>
              <w:pStyle w:val="Compact"/>
              <w:jc w:val="left"/>
            </w:pPr>
            <w:r>
              <w:t xml:space="preserve">$320.00</w:t>
            </w:r>
          </w:p>
        </w:tc>
      </w:tr>
      <w:tr>
        <w:tc>
          <w:tcPr/>
          <w:p>
            <w:pPr>
              <w:pStyle w:val="Compact"/>
              <w:jc w:val="left"/>
            </w:pPr>
            <w:r>
              <w:t xml:space="preserve">Courier, Printing &amp; Miscellaneous Office Expenses</w:t>
            </w:r>
          </w:p>
        </w:tc>
        <w:tc>
          <w:tcPr/>
          <w:p>
            <w:pPr>
              <w:pStyle w:val="Compact"/>
              <w:jc w:val="left"/>
            </w:pPr>
            <w:r>
              <w:t xml:space="preserve">$680.00</w:t>
            </w:r>
          </w:p>
        </w:tc>
      </w:tr>
      <w:tr>
        <w:tc>
          <w:tcPr/>
          <w:p>
            <w:pPr>
              <w:pStyle w:val="Compact"/>
              <w:jc w:val="left"/>
            </w:pPr>
            <w:r>
              <w:rPr>
                <w:bCs/>
                <w:b/>
              </w:rPr>
              <w:t xml:space="preserve">Total Estimated Disbursements</w:t>
            </w:r>
          </w:p>
        </w:tc>
        <w:tc>
          <w:tcPr/>
          <w:p>
            <w:pPr>
              <w:pStyle w:val="Compact"/>
              <w:jc w:val="left"/>
            </w:pPr>
            <w:r>
              <w:rPr>
                <w:bCs/>
                <w:b/>
              </w:rPr>
              <w:t xml:space="preserve">$12,000.00</w:t>
            </w:r>
          </w:p>
        </w:tc>
      </w:tr>
    </w:tbl>
    <w:p>
      <w:pPr>
        <w:pStyle w:val="BodyText"/>
      </w:pPr>
      <w:r>
        <w:t xml:space="preserve">5. Grand Total of This 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Estimated Professional Fees</w:t>
            </w:r>
          </w:p>
        </w:tc>
        <w:tc>
          <w:tcPr/>
          <w:p>
            <w:pPr>
              <w:pStyle w:val="Compact"/>
              <w:jc w:val="right"/>
            </w:pPr>
            <w:r>
              <w:t xml:space="preserve">$44,250.00</w:t>
            </w:r>
          </w:p>
        </w:tc>
      </w:tr>
      <w:tr>
        <w:tc>
          <w:tcPr/>
          <w:p>
            <w:pPr>
              <w:pStyle w:val="Compact"/>
              <w:jc w:val="left"/>
            </w:pPr>
            <w:r>
              <w:t xml:space="preserve">Estimated Disbursements</w:t>
            </w:r>
          </w:p>
        </w:tc>
        <w:tc>
          <w:tcPr/>
          <w:p>
            <w:pPr>
              <w:pStyle w:val="Compact"/>
              <w:jc w:val="right"/>
            </w:pPr>
            <w:r>
              <w:t xml:space="preserve">$12,000.00</w:t>
            </w:r>
          </w:p>
        </w:tc>
      </w:tr>
      <w:tr>
        <w:tc>
          <w:tcPr/>
          <w:p>
            <w:pPr>
              <w:pStyle w:val="Compact"/>
              <w:jc w:val="left"/>
            </w:pPr>
            <w:r>
              <w:t xml:space="preserve">GST (5% on professional fees, where applicable)</w:t>
            </w:r>
          </w:p>
        </w:tc>
        <w:tc>
          <w:tcPr/>
          <w:p>
            <w:pPr>
              <w:pStyle w:val="Compact"/>
              <w:jc w:val="right"/>
            </w:pPr>
            <w:r>
              <w:t xml:space="preserve">$2,212.50</w:t>
            </w:r>
          </w:p>
        </w:tc>
      </w:tr>
      <w:tr>
        <w:tc>
          <w:tcPr/>
          <w:p>
            <w:pPr>
              <w:pStyle w:val="Compact"/>
              <w:jc w:val="left"/>
            </w:pPr>
            <w:r>
              <w:rPr>
                <w:bCs/>
                <w:b/>
              </w:rPr>
              <w:t xml:space="preserve">GRAND TOTAL ESTIMATED COST</w:t>
            </w:r>
          </w:p>
        </w:tc>
        <w:tc>
          <w:tcPr/>
          <w:p>
            <w:pPr>
              <w:pStyle w:val="Compact"/>
              <w:jc w:val="right"/>
            </w:pPr>
            <w:r>
              <w:rPr>
                <w:bCs/>
                <w:b/>
              </w:rPr>
              <w:t xml:space="preserve">$58,462.50</w:t>
            </w:r>
          </w:p>
        </w:tc>
      </w:tr>
    </w:tbl>
    <w:p>
      <w:pPr>
        <w:pStyle w:val="BodyText"/>
      </w:pPr>
      <w:r>
        <w:t xml:space="preserve">6.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thirty (30) days from the date of issuance. Upon expiry, the</w:t>
      </w:r>
      <w:r>
        <w:t xml:space="preserve"> </w:t>
      </w:r>
      <w:r>
        <w:t xml:space="preserve">Lawyer</w:t>
      </w:r>
      <w:r>
        <w:t xml:space="preserve"> </w:t>
      </w:r>
      <w:r>
        <w:t xml:space="preserve">reserves the right to revise the fee schedule to reflect current market rates in</w:t>
      </w:r>
      <w:r>
        <w:t xml:space="preserve"> </w:t>
      </w:r>
      <w:r>
        <w:t xml:space="preserve">Canada Vancouver</w:t>
      </w:r>
      <w:r>
        <w:t xml:space="preserve">.</w:t>
      </w:r>
    </w:p>
    <w:p>
      <w:pPr>
        <w:numPr>
          <w:ilvl w:val="0"/>
          <w:numId w:val="1002"/>
        </w:numPr>
        <w:pStyle w:val="Compact"/>
      </w:pPr>
      <w:r>
        <w:t xml:space="preserve">All fees are subject to a minimum billing increment of one-tenth (0.1) of an hour. The</w:t>
      </w:r>
      <w:r>
        <w:t xml:space="preserve"> </w:t>
      </w:r>
      <w:r>
        <w:t xml:space="preserve">Lawyer</w:t>
      </w:r>
      <w:r>
        <w:t xml:space="preserve"> </w:t>
      </w:r>
      <w:r>
        <w:t xml:space="preserve">will provide monthly itemized statements detailing all time spent and disbursements incurred.</w:t>
      </w:r>
    </w:p>
    <w:p>
      <w:pPr>
        <w:numPr>
          <w:ilvl w:val="0"/>
          <w:numId w:val="1002"/>
        </w:numPr>
        <w:pStyle w:val="Compact"/>
      </w:pPr>
      <w:r>
        <w:t xml:space="preserve">The client is required to maintain a retainer account with the firm in the amount of $15,000.00 CAD, which will be drawn down as fees and disbursements are incurred. The retainer must be replenished when it falls below $5,000.00.</w:t>
      </w:r>
    </w:p>
    <w:p>
      <w:pPr>
        <w:numPr>
          <w:ilvl w:val="0"/>
          <w:numId w:val="1002"/>
        </w:numPr>
        <w:pStyle w:val="Compact"/>
      </w:pPr>
      <w:r>
        <w:t xml:space="preserve">This</w:t>
      </w:r>
      <w:r>
        <w:t xml:space="preserve"> </w:t>
      </w:r>
      <w:r>
        <w:t xml:space="preserve">Quotation Estimate</w:t>
      </w:r>
      <w:r>
        <w:t xml:space="preserve"> </w:t>
      </w:r>
      <w:r>
        <w:t xml:space="preserve">is based on the current understanding of the matter. Should the scope of work expand significantly due to unforeseen circumstances, the</w:t>
      </w:r>
      <w:r>
        <w:t xml:space="preserve"> </w:t>
      </w:r>
      <w:r>
        <w:t xml:space="preserve">Lawyer</w:t>
      </w:r>
      <w:r>
        <w:t xml:space="preserve"> </w:t>
      </w:r>
      <w:r>
        <w:t xml:space="preserve">will issue a revised</w:t>
      </w:r>
      <w:r>
        <w:t xml:space="preserve"> </w:t>
      </w:r>
      <w:r>
        <w:t xml:space="preserve">Quotation Estimate</w:t>
      </w:r>
      <w:r>
        <w:t xml:space="preserve"> </w:t>
      </w:r>
      <w:r>
        <w:t xml:space="preserve">for the client's written approval before proceeding with additional work.</w:t>
      </w:r>
    </w:p>
    <w:p>
      <w:pPr>
        <w:numPr>
          <w:ilvl w:val="0"/>
          <w:numId w:val="1002"/>
        </w:numPr>
        <w:pStyle w:val="Compact"/>
      </w:pPr>
      <w:r>
        <w:t xml:space="preserve">All communications between the client and the</w:t>
      </w:r>
      <w:r>
        <w:t xml:space="preserve"> </w:t>
      </w:r>
      <w:r>
        <w:t xml:space="preserve">Lawyer</w:t>
      </w:r>
      <w:r>
        <w:t xml:space="preserve"> </w:t>
      </w:r>
      <w:r>
        <w:t xml:space="preserve">are protected by solicitor-client privilege under the laws of British Columbia and Canada.</w:t>
      </w:r>
    </w:p>
    <w:p>
      <w:pPr>
        <w:numPr>
          <w:ilvl w:val="0"/>
          <w:numId w:val="1002"/>
        </w:numPr>
        <w:pStyle w:val="Compact"/>
      </w:pPr>
      <w:r>
        <w:t xml:space="preserve">This engagement is governed by the laws of the Province of British Columbia and the federal laws of Canada applicable in</w:t>
      </w:r>
      <w:r>
        <w:t xml:space="preserve"> </w:t>
      </w:r>
      <w:r>
        <w:t xml:space="preserve">Canada Vancouver</w:t>
      </w:r>
      <w:r>
        <w:t xml:space="preserve">. Any disputes arising from this engagement shall be resolved in the courts of British Columbia, Vancouver.</w:t>
      </w:r>
    </w:p>
    <w:p>
      <w:pPr>
        <w:numPr>
          <w:ilvl w:val="0"/>
          <w:numId w:val="1002"/>
        </w:numPr>
        <w:pStyle w:val="Compact"/>
      </w:pPr>
      <w:r>
        <w:t xml:space="preserve">The</w:t>
      </w:r>
      <w:r>
        <w:t xml:space="preserve"> </w:t>
      </w:r>
      <w:r>
        <w:t xml:space="preserve">Lawyer</w:t>
      </w:r>
      <w:r>
        <w:t xml:space="preserve"> </w:t>
      </w:r>
      <w:r>
        <w:t xml:space="preserve">is a member in good standing of the Law Society of British Columbia and carries professional liability insurance in the amount of $5,000,000.00 CAD.</w:t>
      </w:r>
    </w:p>
    <w:p>
      <w:pPr>
        <w:numPr>
          <w:ilvl w:val="0"/>
          <w:numId w:val="1002"/>
        </w:numPr>
        <w:pStyle w:val="Compact"/>
      </w:pPr>
      <w:r>
        <w:t xml:space="preserve">Payment of all fees and disbursements is due within thirty (30) days of the date of each monthly invoice. Late payments may incur interest at the rate prescribed under the</w:t>
      </w:r>
      <w:r>
        <w:t xml:space="preserve"> </w:t>
      </w:r>
      <w:r>
        <w:rPr>
          <w:iCs/>
          <w:i/>
        </w:rPr>
        <w:t xml:space="preserve">Law Society of British Columbia Rules</w:t>
      </w:r>
      <w:r>
        <w:t xml:space="preserve">.</w:t>
      </w:r>
    </w:p>
    <w:p>
      <w:pPr>
        <w:numPr>
          <w:ilvl w:val="0"/>
          <w:numId w:val="1002"/>
        </w:numPr>
        <w:pStyle w:val="Compact"/>
      </w:pPr>
      <w:r>
        <w:t xml:space="preserve">This</w:t>
      </w:r>
      <w:r>
        <w:t xml:space="preserve"> </w:t>
      </w:r>
      <w:r>
        <w:t xml:space="preserve">Quotation Estimate</w:t>
      </w:r>
      <w:r>
        <w:t xml:space="preserve"> </w:t>
      </w:r>
      <w:r>
        <w:t xml:space="preserve">does not constitute a guarantee of outcome. The</w:t>
      </w:r>
      <w:r>
        <w:t xml:space="preserve"> </w:t>
      </w:r>
      <w:r>
        <w:t xml:space="preserve">Lawyer</w:t>
      </w:r>
      <w:r>
        <w:t xml:space="preserve"> </w:t>
      </w:r>
      <w:r>
        <w:t xml:space="preserve">will exercise all reasonable professional diligence in representing the client's interests in this matter.</w:t>
      </w:r>
    </w:p>
    <w:p>
      <w:pPr>
        <w:pStyle w:val="FirstParagraph"/>
      </w:pPr>
      <w:r>
        <w:t xml:space="preserve">7. Acceptance and Authorization</w:t>
      </w:r>
    </w:p>
    <w:p>
      <w:pPr>
        <w:pStyle w:val="BodyText"/>
      </w:pPr>
      <w:r>
        <w:t xml:space="preserve">By signing below, the client acknowledges receipt of this</w:t>
      </w:r>
      <w:r>
        <w:t xml:space="preserve"> </w:t>
      </w:r>
      <w:r>
        <w:t xml:space="preserve">Quotation Estimate</w:t>
      </w:r>
      <w:r>
        <w:t xml:space="preserve">, confirms understanding of the fee structure and terms outlined herein, and authorizes the</w:t>
      </w:r>
      <w:r>
        <w:t xml:space="preserve"> </w:t>
      </w:r>
      <w:r>
        <w:t xml:space="preserve">Lawyer</w:t>
      </w:r>
      <w:r>
        <w:t xml:space="preserve"> </w:t>
      </w:r>
      <w:r>
        <w:t xml:space="preserve">at Ashford &amp; Chen Legal LLP to commence the legal services described in this document in</w:t>
      </w:r>
      <w:r>
        <w:t xml:space="preserve"> </w:t>
      </w:r>
      <w:r>
        <w:t xml:space="preserve">Canada Vancouver</w:t>
      </w:r>
      <w:r>
        <w:t xml:space="preserve">.</w:t>
      </w:r>
    </w:p>
    <w:p>
      <w:pPr>
        <w:pStyle w:val="BodyText"/>
      </w:pPr>
      <w:r>
        <w:rPr>
          <w:bCs/>
          <w:b/>
        </w:rPr>
        <w:t xml:space="preserve">Client Signature:</w:t>
      </w:r>
      <w:r>
        <w:t xml:space="preserve"> </w:t>
      </w:r>
      <w:r>
        <w:t xml:space="preserve">Mr. David R. Thompson</w:t>
      </w:r>
      <w:r>
        <w:br/>
      </w:r>
      <w:r>
        <w:t xml:space="preserve">Date: ______________________</w:t>
      </w:r>
    </w:p>
    <w:p>
      <w:pPr>
        <w:pStyle w:val="BodyText"/>
      </w:pPr>
      <w:r>
        <w:rPr>
          <w:bCs/>
          <w:b/>
        </w:rPr>
        <w:t xml:space="preserve">Lawyer Signature:</w:t>
      </w:r>
      <w:r>
        <w:t xml:space="preserve"> </w:t>
      </w:r>
      <w:r>
        <w:t xml:space="preserve">Katherine M. Ashford, Barrister &amp; Solicitor</w:t>
      </w:r>
      <w:r>
        <w:br/>
      </w:r>
      <w:r>
        <w:t xml:space="preserve">Ashford &amp; Chen Legal LLP, Vancouver, Canada</w:t>
      </w:r>
      <w:r>
        <w:br/>
      </w:r>
      <w:r>
        <w:t xml:space="preserve">Date: ______________________</w:t>
      </w:r>
    </w:p>
    <w:p>
      <w:pPr>
        <w:pStyle w:val="BodyText"/>
      </w:pPr>
      <w:r>
        <w:t xml:space="preserve">Ashford &amp; Chen Legal LLP — 1200 West Georgia Street, Suite 2400, Vancouver, British Columbia, Canada V6E 4G1</w:t>
      </w:r>
      <w:r>
        <w:br/>
      </w:r>
      <w:r>
        <w:t xml:space="preserve">Law Society of British Columbia Registration No. 48291 | This</w:t>
      </w:r>
      <w:r>
        <w:t xml:space="preserve"> </w:t>
      </w:r>
      <w:r>
        <w:t xml:space="preserve">Quotation Estimate</w:t>
      </w:r>
      <w:r>
        <w:t xml:space="preserve"> </w:t>
      </w:r>
      <w:r>
        <w:t xml:space="preserve">is a confidential document intended solely for the named client. Unauthorized distribution is prohibited under the Privacy Act (Canada) and PIPA (BC).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Vancouver, Canada</dc:title>
  <dc:creator/>
  <dc:language>en</dc:language>
  <cp:keywords/>
  <dcterms:created xsi:type="dcterms:W3CDTF">2026-10-10T06:44:24Z</dcterms:created>
  <dcterms:modified xsi:type="dcterms:W3CDTF">2026-10-10T06:44:24Z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