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Beijing,</w:t>
      </w:r>
      <w:r>
        <w:t xml:space="preserve"> </w:t>
      </w:r>
      <w:r>
        <w:t xml:space="preserve">China</w:t>
      </w:r>
    </w:p>
    <w:bookmarkStart w:id="20" w:name="quotation-estimate"/>
    <w:p>
      <w:pPr>
        <w:pStyle w:val="Heading1"/>
      </w:pPr>
      <w:r>
        <w:t xml:space="preserve">QUOTATION ESTIMATE</w:t>
      </w:r>
    </w:p>
    <w:p>
      <w:pPr>
        <w:pStyle w:val="FirstParagraph"/>
      </w:pPr>
      <w:r>
        <w:t xml:space="preserve">Professional Legal Services — Beijing, China</w:t>
      </w:r>
    </w:p>
    <w:p>
      <w:pPr>
        <w:pStyle w:val="BodyText"/>
      </w:pPr>
      <w:r>
        <w:rPr>
          <w:bCs/>
          <w:b/>
        </w:rPr>
        <w:t xml:space="preserve">Beijing Capital Legal Counsel LLP</w:t>
      </w:r>
      <w:r>
        <w:br/>
      </w:r>
      <w:r>
        <w:t xml:space="preserve">Suite 2801, China World Trade Center Tower 3, No. 1 Jianguomenwai Avenue, Chaoyang District, Beijing 100020, People's Republic of China</w:t>
      </w:r>
      <w:r>
        <w:br/>
      </w:r>
      <w:r>
        <w:t xml:space="preserve">Tel: +86-10-8518-6600  |  Email: counsel@bjcapitallaw.com.cn  |  License No.: 110105-2019-00472</w:t>
      </w:r>
    </w:p>
    <w:bookmarkEnd w:id="20"/>
    <w:p>
      <w:pPr>
        <w:pStyle w:val="BodyText"/>
      </w:pPr>
      <w:r>
        <w:rPr>
          <w:bCs/>
          <w:b/>
        </w:rPr>
        <w:t xml:space="preserve">Quotation No.:</w:t>
      </w:r>
      <w:r>
        <w:t xml:space="preserve"> </w:t>
      </w:r>
      <w:r>
        <w:t xml:space="preserve">BCLC-2025-QE-0387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For:</w:t>
      </w:r>
      <w:r>
        <w:br/>
      </w:r>
      <w:r>
        <w:t xml:space="preserve">Mr. David Chen / Chen Wei</w:t>
      </w:r>
      <w:r>
        <w:br/>
      </w:r>
      <w:r>
        <w:t xml:space="preserve">Horizon Technology Co., Ltd.</w:t>
      </w:r>
      <w:r>
        <w:br/>
      </w:r>
      <w:r>
        <w:t xml:space="preserve">12F, Zhongguancun Science Park, Haidian District, Beijing 100080, China</w:t>
      </w:r>
      <w:r>
        <w:br/>
      </w:r>
      <w:r>
        <w:t xml:space="preserve">Contact: +86-138-0012-5678</w:t>
      </w:r>
    </w:p>
    <w:p>
      <w:pPr>
        <w:pStyle w:val="BodyText"/>
      </w:pPr>
      <w:r>
        <w:t xml:space="preserve">Dear Mr. Chen,</w:t>
      </w:r>
    </w:p>
    <w:p>
      <w:pPr>
        <w:pStyle w:val="BodyText"/>
      </w:pPr>
      <w:r>
        <w:t xml:space="preserve">Thank you for engaging</w:t>
      </w:r>
      <w:r>
        <w:t xml:space="preserve"> </w:t>
      </w:r>
      <w:r>
        <w:rPr>
          <w:bCs/>
          <w:b/>
        </w:rPr>
        <w:t xml:space="preserve">Beijing Capital Legal Counsel LLP</w:t>
      </w:r>
      <w:r>
        <w:t xml:space="preserve"> </w:t>
      </w:r>
      <w:r>
        <w:t xml:space="preserve">to provide a formal</w:t>
      </w:r>
      <w:r>
        <w:t xml:space="preserve"> </w:t>
      </w:r>
      <w:r>
        <w:t xml:space="preserve">Quotation Estimate</w:t>
      </w:r>
      <w:r>
        <w:t xml:space="preserve"> </w:t>
      </w:r>
      <w:r>
        <w:t xml:space="preserve">for the legal services of our senior</w:t>
      </w:r>
      <w:r>
        <w:t xml:space="preserve"> </w:t>
      </w:r>
      <w:r>
        <w:t xml:space="preserve">Lawyer</w:t>
      </w:r>
      <w:r>
        <w:t xml:space="preserve"> </w:t>
      </w:r>
      <w:r>
        <w:t xml:space="preserve">team in connection with the commercial contract dispute and corporate restructuring matters currently affecting Horizon Technology Co., Ltd. This</w:t>
      </w:r>
      <w:r>
        <w:t xml:space="preserve"> </w:t>
      </w:r>
      <w:r>
        <w:t xml:space="preserve">Quotation Estimate</w:t>
      </w:r>
      <w:r>
        <w:t xml:space="preserve"> </w:t>
      </w:r>
      <w:r>
        <w:t xml:space="preserve">has been prepared in accordance with the regulations of the Ministry of Justice of the People's Republic of China and the Beijing Municipal Bar Association's fee guidelines, and reflects the current market rates for</w:t>
      </w:r>
      <w:r>
        <w:t xml:space="preserve"> </w:t>
      </w:r>
      <w:r>
        <w:t xml:space="preserve">Lawyer</w:t>
      </w:r>
      <w:r>
        <w:t xml:space="preserve"> </w:t>
      </w:r>
      <w:r>
        <w:t xml:space="preserve">services in</w:t>
      </w:r>
      <w:r>
        <w:t xml:space="preserve"> </w:t>
      </w:r>
      <w:r>
        <w:t xml:space="preserve">China Beijing</w:t>
      </w:r>
      <w:r>
        <w:t xml:space="preserve">.</w:t>
      </w:r>
    </w:p>
    <w:p>
      <w:pPr>
        <w:pStyle w:val="BodyText"/>
      </w:pPr>
      <w:r>
        <w:t xml:space="preserve">1. Scope of Legal Services</w:t>
      </w:r>
    </w:p>
    <w:p>
      <w:pPr>
        <w:pStyle w:val="BodyText"/>
      </w:pPr>
      <w:r>
        <w:t xml:space="preserve">The following</w:t>
      </w:r>
      <w:r>
        <w:t xml:space="preserve"> </w:t>
      </w:r>
      <w:r>
        <w:t xml:space="preserve">Lawyer</w:t>
      </w:r>
      <w:r>
        <w:t xml:space="preserve"> </w:t>
      </w:r>
      <w:r>
        <w:t xml:space="preserve">services are included within this</w:t>
      </w:r>
      <w:r>
        <w:t xml:space="preserve"> </w:t>
      </w:r>
      <w:r>
        <w:t xml:space="preserve">Quotation Estimate</w:t>
      </w:r>
      <w:r>
        <w:t xml:space="preserve"> </w:t>
      </w:r>
      <w:r>
        <w:t xml:space="preserve">for engagement in</w:t>
      </w:r>
      <w:r>
        <w:t xml:space="preserve"> </w:t>
      </w:r>
      <w:r>
        <w:t xml:space="preserve">China Beijing</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Estimated Hours</w:t>
            </w:r>
          </w:p>
        </w:tc>
        <w:tc>
          <w:tcPr/>
          <w:p>
            <w:pPr>
              <w:pStyle w:val="Compact"/>
              <w:jc w:val="left"/>
            </w:pPr>
            <w:r>
              <w:t xml:space="preserve">Rate (CNY / Hour)</w:t>
            </w:r>
          </w:p>
        </w:tc>
      </w:tr>
      <w:tr>
        <w:tc>
          <w:tcPr/>
          <w:p>
            <w:pPr>
              <w:pStyle w:val="Compact"/>
              <w:jc w:val="left"/>
            </w:pPr>
            <w:r>
              <w:t xml:space="preserve">1</w:t>
            </w:r>
          </w:p>
        </w:tc>
        <w:tc>
          <w:tcPr/>
          <w:p>
            <w:pPr>
              <w:pStyle w:val="Compact"/>
              <w:jc w:val="left"/>
            </w:pPr>
            <w:r>
              <w:t xml:space="preserve">Initial consultation and case assessment by the lead</w:t>
            </w:r>
            <w:r>
              <w:t xml:space="preserve"> </w:t>
            </w:r>
            <w:r>
              <w:t xml:space="preserve">Lawyer</w:t>
            </w:r>
            <w:r>
              <w:t xml:space="preserve"> </w:t>
            </w:r>
            <w:r>
              <w:t xml:space="preserve">at our Beijing office</w:t>
            </w:r>
          </w:p>
        </w:tc>
        <w:tc>
          <w:tcPr/>
          <w:p>
            <w:pPr>
              <w:pStyle w:val="Compact"/>
              <w:jc w:val="left"/>
            </w:pPr>
            <w:r>
              <w:t xml:space="preserve">4 hours</w:t>
            </w:r>
          </w:p>
        </w:tc>
        <w:tc>
          <w:tcPr/>
          <w:p>
            <w:pPr>
              <w:pStyle w:val="Compact"/>
              <w:jc w:val="left"/>
            </w:pPr>
            <w:r>
              <w:t xml:space="preserve">¥2,500</w:t>
            </w:r>
          </w:p>
        </w:tc>
      </w:tr>
      <w:tr>
        <w:tc>
          <w:tcPr/>
          <w:p>
            <w:pPr>
              <w:pStyle w:val="Compact"/>
              <w:jc w:val="left"/>
            </w:pPr>
            <w:r>
              <w:t xml:space="preserve">2</w:t>
            </w:r>
          </w:p>
        </w:tc>
        <w:tc>
          <w:tcPr/>
          <w:p>
            <w:pPr>
              <w:pStyle w:val="Compact"/>
              <w:jc w:val="left"/>
            </w:pPr>
            <w:r>
              <w:t xml:space="preserve">Drafting and negotiation of the commercial settlement agreement (up to 3 rounds)</w:t>
            </w:r>
          </w:p>
        </w:tc>
        <w:tc>
          <w:tcPr/>
          <w:p>
            <w:pPr>
              <w:pStyle w:val="Compact"/>
              <w:jc w:val="left"/>
            </w:pPr>
            <w:r>
              <w:t xml:space="preserve">20 hours</w:t>
            </w:r>
          </w:p>
        </w:tc>
        <w:tc>
          <w:tcPr/>
          <w:p>
            <w:pPr>
              <w:pStyle w:val="Compact"/>
              <w:jc w:val="left"/>
            </w:pPr>
            <w:r>
              <w:t xml:space="preserve">¥2,000</w:t>
            </w:r>
          </w:p>
        </w:tc>
      </w:tr>
      <w:tr>
        <w:tc>
          <w:tcPr/>
          <w:p>
            <w:pPr>
              <w:pStyle w:val="Compact"/>
              <w:jc w:val="left"/>
            </w:pPr>
            <w:r>
              <w:t xml:space="preserve">3</w:t>
            </w:r>
          </w:p>
        </w:tc>
        <w:tc>
          <w:tcPr/>
          <w:p>
            <w:pPr>
              <w:pStyle w:val="Compact"/>
              <w:jc w:val="left"/>
            </w:pPr>
            <w:r>
              <w:t xml:space="preserve">Representation before the Beijing No. 3 Intermediate People's Court (filing, hearings, and post-trial motions)</w:t>
            </w:r>
          </w:p>
        </w:tc>
        <w:tc>
          <w:tcPr/>
          <w:p>
            <w:pPr>
              <w:pStyle w:val="Compact"/>
              <w:jc w:val="left"/>
            </w:pPr>
            <w:r>
              <w:t xml:space="preserve">35 hours</w:t>
            </w:r>
          </w:p>
        </w:tc>
        <w:tc>
          <w:tcPr/>
          <w:p>
            <w:pPr>
              <w:pStyle w:val="Compact"/>
              <w:jc w:val="left"/>
            </w:pPr>
            <w:r>
              <w:t xml:space="preserve">¥2,500</w:t>
            </w:r>
          </w:p>
        </w:tc>
      </w:tr>
      <w:tr>
        <w:tc>
          <w:tcPr/>
          <w:p>
            <w:pPr>
              <w:pStyle w:val="Compact"/>
              <w:jc w:val="left"/>
            </w:pPr>
            <w:r>
              <w:t xml:space="preserve">4</w:t>
            </w:r>
          </w:p>
        </w:tc>
        <w:tc>
          <w:tcPr/>
          <w:p>
            <w:pPr>
              <w:pStyle w:val="Compact"/>
              <w:jc w:val="left"/>
            </w:pPr>
            <w:r>
              <w:t xml:space="preserve">Corporate restructuring advisory and compliance review under PRC Company Law</w:t>
            </w:r>
          </w:p>
        </w:tc>
        <w:tc>
          <w:tcPr/>
          <w:p>
            <w:pPr>
              <w:pStyle w:val="Compact"/>
              <w:jc w:val="left"/>
            </w:pPr>
            <w:r>
              <w:t xml:space="preserve">15 hours</w:t>
            </w:r>
          </w:p>
        </w:tc>
        <w:tc>
          <w:tcPr/>
          <w:p>
            <w:pPr>
              <w:pStyle w:val="Compact"/>
              <w:jc w:val="left"/>
            </w:pPr>
            <w:r>
              <w:t xml:space="preserve">¥1,800</w:t>
            </w:r>
          </w:p>
        </w:tc>
      </w:tr>
      <w:tr>
        <w:tc>
          <w:tcPr/>
          <w:p>
            <w:pPr>
              <w:pStyle w:val="Compact"/>
              <w:jc w:val="left"/>
            </w:pPr>
            <w:r>
              <w:t xml:space="preserve">5</w:t>
            </w:r>
          </w:p>
        </w:tc>
        <w:tc>
          <w:tcPr/>
          <w:p>
            <w:pPr>
              <w:pStyle w:val="Compact"/>
              <w:jc w:val="left"/>
            </w:pPr>
            <w:r>
              <w:t xml:space="preserve">Preparation of legal opinions and memoranda for the Board of Directors</w:t>
            </w:r>
          </w:p>
        </w:tc>
        <w:tc>
          <w:tcPr/>
          <w:p>
            <w:pPr>
              <w:pStyle w:val="Compact"/>
              <w:jc w:val="left"/>
            </w:pPr>
            <w:r>
              <w:t xml:space="preserve">10 hours</w:t>
            </w:r>
          </w:p>
        </w:tc>
        <w:tc>
          <w:tcPr/>
          <w:p>
            <w:pPr>
              <w:pStyle w:val="Compact"/>
              <w:jc w:val="left"/>
            </w:pPr>
            <w:r>
              <w:t xml:space="preserve">¥2,000</w:t>
            </w:r>
          </w:p>
        </w:tc>
      </w:tr>
      <w:tr>
        <w:tc>
          <w:tcPr/>
          <w:p>
            <w:pPr>
              <w:pStyle w:val="Compact"/>
              <w:jc w:val="left"/>
            </w:pPr>
            <w:r>
              <w:t xml:space="preserve">6</w:t>
            </w:r>
          </w:p>
        </w:tc>
        <w:tc>
          <w:tcPr/>
          <w:p>
            <w:pPr>
              <w:pStyle w:val="Compact"/>
              <w:jc w:val="left"/>
            </w:pPr>
            <w:r>
              <w:t xml:space="preserve">Coordination with notary public offices and the State Administration for Market Regulation in Beijing</w:t>
            </w:r>
          </w:p>
        </w:tc>
        <w:tc>
          <w:tcPr/>
          <w:p>
            <w:pPr>
              <w:pStyle w:val="Compact"/>
              <w:jc w:val="left"/>
            </w:pPr>
            <w:r>
              <w:t xml:space="preserve">6 hours</w:t>
            </w:r>
          </w:p>
        </w:tc>
        <w:tc>
          <w:tcPr/>
          <w:p>
            <w:pPr>
              <w:pStyle w:val="Compact"/>
              <w:jc w:val="left"/>
            </w:pPr>
            <w:r>
              <w:t xml:space="preserve">¥1,500</w:t>
            </w:r>
          </w:p>
        </w:tc>
      </w:tr>
      <w:tr>
        <w:tc>
          <w:tcPr/>
          <w:p>
            <w:pPr>
              <w:pStyle w:val="Compact"/>
              <w:jc w:val="left"/>
            </w:pPr>
            <w:r>
              <w:t xml:space="preserve">7</w:t>
            </w:r>
          </w:p>
        </w:tc>
        <w:tc>
          <w:tcPr/>
          <w:p>
            <w:pPr>
              <w:pStyle w:val="Compact"/>
              <w:jc w:val="left"/>
            </w:pPr>
            <w:r>
              <w:t xml:space="preserve">Translation and certification of legal documents (Chinese-English) for court submission</w:t>
            </w:r>
          </w:p>
        </w:tc>
        <w:tc>
          <w:tcPr/>
          <w:p>
            <w:pPr>
              <w:pStyle w:val="Compact"/>
              <w:jc w:val="left"/>
            </w:pPr>
            <w:r>
              <w:t xml:space="preserve">8 hours</w:t>
            </w:r>
          </w:p>
        </w:tc>
        <w:tc>
          <w:tcPr/>
          <w:p>
            <w:pPr>
              <w:pStyle w:val="Compact"/>
              <w:jc w:val="left"/>
            </w:pPr>
            <w:r>
              <w:t xml:space="preserve">¥1,200</w:t>
            </w:r>
          </w:p>
        </w:tc>
      </w:tr>
    </w:tbl>
    <w:p>
      <w:pPr>
        <w:pStyle w:val="BodyText"/>
      </w:pPr>
      <w:r>
        <w:t xml:space="preserve">2. Fee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Amount (CNY)</w:t>
            </w:r>
          </w:p>
        </w:tc>
      </w:tr>
      <w:tr>
        <w:tc>
          <w:tcPr/>
          <w:p>
            <w:pPr>
              <w:pStyle w:val="Compact"/>
              <w:jc w:val="left"/>
            </w:pPr>
            <w:r>
              <w:t xml:space="preserve">Professional</w:t>
            </w:r>
            <w:r>
              <w:t xml:space="preserve"> </w:t>
            </w:r>
            <w:r>
              <w:t xml:space="preserve">Lawyer</w:t>
            </w:r>
            <w:r>
              <w:t xml:space="preserve"> </w:t>
            </w:r>
            <w:r>
              <w:t xml:space="preserve">Fees (Items 1–7 above)</w:t>
            </w:r>
          </w:p>
        </w:tc>
        <w:tc>
          <w:tcPr/>
          <w:p>
            <w:pPr>
              <w:pStyle w:val="Compact"/>
              <w:jc w:val="left"/>
            </w:pPr>
            <w:r>
              <w:t xml:space="preserve">¥198,000.00</w:t>
            </w:r>
          </w:p>
        </w:tc>
      </w:tr>
      <w:tr>
        <w:tc>
          <w:tcPr/>
          <w:p>
            <w:pPr>
              <w:pStyle w:val="Compact"/>
              <w:jc w:val="left"/>
            </w:pPr>
            <w:r>
              <w:t xml:space="preserve">Court filing fees and administrative charges (estimated, Beijing jurisdiction)</w:t>
            </w:r>
          </w:p>
        </w:tc>
        <w:tc>
          <w:tcPr/>
          <w:p>
            <w:pPr>
              <w:pStyle w:val="Compact"/>
              <w:jc w:val="left"/>
            </w:pPr>
            <w:r>
              <w:t xml:space="preserve">¥12,500.00</w:t>
            </w:r>
          </w:p>
        </w:tc>
      </w:tr>
      <w:tr>
        <w:tc>
          <w:tcPr/>
          <w:p>
            <w:pPr>
              <w:pStyle w:val="Compact"/>
              <w:jc w:val="left"/>
            </w:pPr>
            <w:r>
              <w:t xml:space="preserve">Notary and registration fees (Beijing Municipal authorities)</w:t>
            </w:r>
          </w:p>
        </w:tc>
        <w:tc>
          <w:tcPr/>
          <w:p>
            <w:pPr>
              <w:pStyle w:val="Compact"/>
              <w:jc w:val="left"/>
            </w:pPr>
            <w:r>
              <w:t xml:space="preserve">¥3,200.00</w:t>
            </w:r>
          </w:p>
        </w:tc>
      </w:tr>
      <w:tr>
        <w:tc>
          <w:tcPr/>
          <w:p>
            <w:pPr>
              <w:pStyle w:val="Compact"/>
              <w:jc w:val="left"/>
            </w:pPr>
            <w:r>
              <w:t xml:space="preserve">Document translation and certification</w:t>
            </w:r>
          </w:p>
        </w:tc>
        <w:tc>
          <w:tcPr/>
          <w:p>
            <w:pPr>
              <w:pStyle w:val="Compact"/>
              <w:jc w:val="left"/>
            </w:pPr>
            <w:r>
              <w:t xml:space="preserve">¥4,800.00</w:t>
            </w:r>
          </w:p>
        </w:tc>
      </w:tr>
      <w:tr>
        <w:tc>
          <w:tcPr/>
          <w:p>
            <w:pPr>
              <w:pStyle w:val="Compact"/>
              <w:jc w:val="left"/>
            </w:pPr>
            <w:r>
              <w:t xml:space="preserve">Travel and local transportation within Beijing</w:t>
            </w:r>
          </w:p>
        </w:tc>
        <w:tc>
          <w:tcPr/>
          <w:p>
            <w:pPr>
              <w:pStyle w:val="Compact"/>
              <w:jc w:val="left"/>
            </w:pPr>
            <w:r>
              <w:t xml:space="preserve">¥2,500.00</w:t>
            </w:r>
          </w:p>
        </w:tc>
      </w:tr>
      <w:tr>
        <w:tc>
          <w:tcPr/>
          <w:p>
            <w:pPr>
              <w:pStyle w:val="Compact"/>
              <w:jc w:val="left"/>
            </w:pPr>
            <w:r>
              <w:t xml:space="preserve">Subtotal</w:t>
            </w:r>
          </w:p>
        </w:tc>
        <w:tc>
          <w:tcPr/>
          <w:p>
            <w:pPr>
              <w:pStyle w:val="Compact"/>
              <w:jc w:val="left"/>
            </w:pPr>
            <w:r>
              <w:t xml:space="preserve">¥221,000.00</w:t>
            </w:r>
          </w:p>
        </w:tc>
      </w:tr>
      <w:tr>
        <w:tc>
          <w:tcPr/>
          <w:p>
            <w:pPr>
              <w:pStyle w:val="Compact"/>
              <w:jc w:val="left"/>
            </w:pPr>
            <w:r>
              <w:t xml:space="preserve">VAT (6% applicable to legal services in China)</w:t>
            </w:r>
          </w:p>
        </w:tc>
        <w:tc>
          <w:tcPr/>
          <w:p>
            <w:pPr>
              <w:pStyle w:val="Compact"/>
              <w:jc w:val="left"/>
            </w:pPr>
            <w:r>
              <w:t xml:space="preserve">¥13,260.00</w:t>
            </w:r>
          </w:p>
        </w:tc>
      </w:tr>
      <w:tr>
        <w:tc>
          <w:tcPr/>
          <w:p>
            <w:pPr>
              <w:pStyle w:val="Compact"/>
              <w:jc w:val="left"/>
            </w:pPr>
            <w:r>
              <w:rPr>
                <w:bCs/>
                <w:b/>
              </w:rPr>
              <w:t xml:space="preserve">Total Quotation Estimate (CNY)</w:t>
            </w:r>
          </w:p>
        </w:tc>
        <w:tc>
          <w:tcPr/>
          <w:p>
            <w:pPr>
              <w:pStyle w:val="Compact"/>
              <w:jc w:val="left"/>
            </w:pPr>
            <w:r>
              <w:rPr>
                <w:bCs/>
                <w:b/>
              </w:rPr>
              <w:t xml:space="preserve">¥234,260.00</w:t>
            </w:r>
          </w:p>
        </w:tc>
      </w:tr>
    </w:tbl>
    <w:p>
      <w:pPr>
        <w:pStyle w:val="BodyText"/>
      </w:pPr>
      <w:r>
        <w:t xml:space="preserve">* All amounts are quoted in Renminbi (CNY). This</w:t>
      </w:r>
      <w:r>
        <w:t xml:space="preserve"> </w:t>
      </w:r>
      <w:r>
        <w:t xml:space="preserve">Quotation Estimate</w:t>
      </w:r>
      <w:r>
        <w:t xml:space="preserve"> </w:t>
      </w:r>
      <w:r>
        <w:t xml:space="preserve">is an estimate only and does not constitute a fixed-fee guarantee. Final billing will reflect actual hours worked by the assigned</w:t>
      </w:r>
      <w:r>
        <w:t xml:space="preserve"> </w:t>
      </w:r>
      <w:r>
        <w:t xml:space="preserve">Lawyer</w:t>
      </w:r>
      <w:r>
        <w:t xml:space="preserve"> </w:t>
      </w:r>
      <w:r>
        <w:t xml:space="preserve">team.</w:t>
      </w:r>
    </w:p>
    <w:p>
      <w:pPr>
        <w:pStyle w:val="BodyText"/>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Upon expiry, the</w:t>
      </w:r>
      <w:r>
        <w:t xml:space="preserve"> </w:t>
      </w:r>
      <w:r>
        <w:t xml:space="preserve">Lawyer</w:t>
      </w:r>
      <w:r>
        <w:t xml:space="preserve"> </w:t>
      </w:r>
      <w:r>
        <w:t xml:space="preserve">fees and applicable rates may be revised in accordance with the prevailing fee schedule of the Beijing Municipal Bar Association.</w:t>
      </w:r>
    </w:p>
    <w:p>
      <w:pPr>
        <w:numPr>
          <w:ilvl w:val="0"/>
          <w:numId w:val="1001"/>
        </w:numPr>
        <w:pStyle w:val="Compact"/>
      </w:pPr>
      <w:r>
        <w:t xml:space="preserve">Payment shall be made in CNY via bank transfer to the firm's designated account at Industrial and Commercial Bank of China (ICBC), Beijing Chaoyang Branch. A 40% retainer is due upon execution of the engagement letter; the remaining 60% shall be invoiced in monthly installments based on hours actually rendered by the</w:t>
      </w:r>
      <w:r>
        <w:t xml:space="preserve"> </w:t>
      </w:r>
      <w:r>
        <w:t xml:space="preserve">Lawyer</w:t>
      </w:r>
      <w:r>
        <w:t xml:space="preserve"> </w:t>
      </w:r>
      <w:r>
        <w:t xml:space="preserve">team.</w:t>
      </w:r>
    </w:p>
    <w:p>
      <w:pPr>
        <w:numPr>
          <w:ilvl w:val="0"/>
          <w:numId w:val="1001"/>
        </w:numPr>
        <w:pStyle w:val="Compact"/>
      </w:pPr>
      <w:r>
        <w:t xml:space="preserve">All legal advice, documents, and work product prepared by the</w:t>
      </w:r>
      <w:r>
        <w:t xml:space="preserve"> </w:t>
      </w:r>
      <w:r>
        <w:t xml:space="preserve">Lawyer</w:t>
      </w:r>
      <w:r>
        <w:t xml:space="preserve"> </w:t>
      </w:r>
      <w:r>
        <w:t xml:space="preserve">in connection with this engagement are subject to attorney-client privilege under the PRC Lawyers Law (2017 revision) and applicable judicial interpretations of the Supreme People's Court.</w:t>
      </w:r>
    </w:p>
    <w:p>
      <w:pPr>
        <w:numPr>
          <w:ilvl w:val="0"/>
          <w:numId w:val="1001"/>
        </w:numPr>
        <w:pStyle w:val="Compact"/>
      </w:pPr>
      <w:r>
        <w:t xml:space="preserve">This</w:t>
      </w:r>
      <w:r>
        <w:t xml:space="preserve"> </w:t>
      </w:r>
      <w:r>
        <w:t xml:space="preserve">Quotation Estimate</w:t>
      </w:r>
      <w:r>
        <w:t xml:space="preserve"> </w:t>
      </w:r>
      <w:r>
        <w:t xml:space="preserve">does not include costs arising from appeals to the Beijing High People's Court or the Supreme People's Court, which will be subject to a separate</w:t>
      </w:r>
      <w:r>
        <w:t xml:space="preserve"> </w:t>
      </w:r>
      <w:r>
        <w:t xml:space="preserve">Quotation Estimate</w:t>
      </w:r>
      <w:r>
        <w:t xml:space="preserve"> </w:t>
      </w:r>
      <w:r>
        <w:t xml:space="preserve">if required.</w:t>
      </w:r>
    </w:p>
    <w:p>
      <w:pPr>
        <w:numPr>
          <w:ilvl w:val="0"/>
          <w:numId w:val="1001"/>
        </w:numPr>
        <w:pStyle w:val="Compact"/>
      </w:pPr>
      <w:r>
        <w:t xml:space="preserve">The</w:t>
      </w:r>
      <w:r>
        <w:t xml:space="preserve"> </w:t>
      </w:r>
      <w:r>
        <w:t xml:space="preserve">Lawyer</w:t>
      </w:r>
      <w:r>
        <w:t xml:space="preserve"> </w:t>
      </w:r>
      <w:r>
        <w:t xml:space="preserve">firm reserves the right to withdraw from the engagement with thirty (30) days' written notice, in which case fees for services rendered up to the date of withdrawal shall be payable in full.</w:t>
      </w:r>
    </w:p>
    <w:p>
      <w:pPr>
        <w:numPr>
          <w:ilvl w:val="0"/>
          <w:numId w:val="1001"/>
        </w:numPr>
        <w:pStyle w:val="Compact"/>
      </w:pPr>
      <w:r>
        <w:t xml:space="preserve">Any dispute arising from this</w:t>
      </w:r>
      <w:r>
        <w:t xml:space="preserve"> </w:t>
      </w:r>
      <w:r>
        <w:t xml:space="preserve">Quotation Estimate</w:t>
      </w:r>
      <w:r>
        <w:t xml:space="preserve"> </w:t>
      </w:r>
      <w:r>
        <w:t xml:space="preserve">or the engagement shall be resolved through arbitration administered by the Beijing Arbitration Commission (BAC) in accordance with its rules then in force. The seat of arbitration shall be Beijing, China.</w:t>
      </w:r>
    </w:p>
    <w:p>
      <w:pPr>
        <w:numPr>
          <w:ilvl w:val="0"/>
          <w:numId w:val="1001"/>
        </w:numPr>
        <w:pStyle w:val="Compact"/>
      </w:pPr>
      <w:r>
        <w:t xml:space="preserve">This</w:t>
      </w:r>
      <w:r>
        <w:t xml:space="preserve"> </w:t>
      </w:r>
      <w:r>
        <w:t xml:space="preserve">Quotation Estimate</w:t>
      </w:r>
      <w:r>
        <w:t xml:space="preserve"> </w:t>
      </w:r>
      <w:r>
        <w:t xml:space="preserve">is governed by and construed in accordance with the laws of the People's Republic of China, including the PRC Civil Code, the PRC Lawyers Law, and the Regulations on the Administration of Lawyers' Fees.</w:t>
      </w:r>
    </w:p>
    <w:p>
      <w:pPr>
        <w:pStyle w:val="FirstParagraph"/>
      </w:pPr>
      <w:r>
        <w:t xml:space="preserve">4. Acceptance</w:t>
      </w:r>
    </w:p>
    <w:p>
      <w:pPr>
        <w:pStyle w:val="BodyText"/>
      </w:pPr>
      <w:r>
        <w:t xml:space="preserve">By signing below, the client acknowledges receipt of this</w:t>
      </w:r>
      <w:r>
        <w:t xml:space="preserve"> </w:t>
      </w:r>
      <w:r>
        <w:t xml:space="preserve">Quotation Estimate</w:t>
      </w:r>
      <w:r>
        <w:t xml:space="preserve"> </w:t>
      </w:r>
      <w:r>
        <w:t xml:space="preserve">and agrees to the scope of</w:t>
      </w:r>
      <w:r>
        <w:t xml:space="preserve"> </w:t>
      </w:r>
      <w:r>
        <w:t xml:space="preserve">Lawyer</w:t>
      </w:r>
      <w:r>
        <w:t xml:space="preserve"> </w:t>
      </w:r>
      <w:r>
        <w:t xml:space="preserve">services, fee structure, and terms set forth herein for the engagement in</w:t>
      </w:r>
      <w:r>
        <w:t xml:space="preserve"> </w:t>
      </w:r>
      <w:r>
        <w:t xml:space="preserve">China Beijing</w:t>
      </w:r>
      <w:r>
        <w:t xml:space="preserve">. A formal engagement letter will be issued upon acceptance.</w:t>
      </w:r>
    </w:p>
    <w:p>
      <w:pPr>
        <w:pStyle w:val="BodyText"/>
      </w:pPr>
      <w:r>
        <w:rPr>
          <w:bCs/>
          <w:b/>
        </w:rPr>
        <w:t xml:space="preserve">For and on behalf of Beijing Capital Legal Counsel LLP</w:t>
      </w:r>
      <w:r>
        <w:br/>
      </w:r>
      <w:r>
        <w:t xml:space="preserve">Lead</w:t>
      </w:r>
      <w:r>
        <w:t xml:space="preserve"> </w:t>
      </w:r>
      <w:r>
        <w:t xml:space="preserve">Lawyer</w:t>
      </w:r>
      <w:r>
        <w:t xml:space="preserve">: Attorney Wang Lihua</w:t>
      </w:r>
      <w:r>
        <w:br/>
      </w:r>
      <w:r>
        <w:t xml:space="preserve">License No.: 110105-2012-00318</w:t>
      </w:r>
      <w:r>
        <w:br/>
      </w:r>
      <w:r>
        <w:t xml:space="preserve">Date: ____________________</w:t>
      </w:r>
    </w:p>
    <w:p>
      <w:pPr>
        <w:pStyle w:val="BodyText"/>
      </w:pPr>
      <w:r>
        <w:rPr>
          <w:bCs/>
          <w:b/>
        </w:rPr>
        <w:t xml:space="preserve">Accepted by the Client</w:t>
      </w:r>
      <w:r>
        <w:br/>
      </w:r>
      <w:r>
        <w:t xml:space="preserve">Name: ____________________</w:t>
      </w:r>
      <w:r>
        <w:br/>
      </w:r>
      <w:r>
        <w:t xml:space="preserve">Title: ____________________</w:t>
      </w:r>
      <w:r>
        <w:br/>
      </w:r>
      <w:r>
        <w:t xml:space="preserve">Date: ____________________</w:t>
      </w:r>
    </w:p>
    <w:p>
      <w:pPr>
        <w:pStyle w:val="BodyText"/>
      </w:pPr>
      <w:r>
        <w:t xml:space="preserve">Beijing Capital Legal Counsel LLP — Quotation Estimate No. BCLC-2025-QE-0387</w:t>
      </w:r>
      <w:r>
        <w:br/>
      </w:r>
      <w:r>
        <w:t xml:space="preserve">This document is issued in the People's Republic of China, Beijing. All legal services referenced herein are provided by a licensed</w:t>
      </w:r>
      <w:r>
        <w:t xml:space="preserve"> </w:t>
      </w:r>
      <w:r>
        <w:t xml:space="preserve">Lawyer</w:t>
      </w:r>
      <w:r>
        <w:t xml:space="preserve"> </w:t>
      </w:r>
      <w:r>
        <w:t xml:space="preserve">in compliance with PRC regulations.</w:t>
      </w:r>
      <w:r>
        <w:br/>
      </w:r>
      <w:r>
        <w:t xml:space="preserve">© 2025 Beijing Capital Legal Counsel LLP.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Beijing, China</dc:title>
  <dc:creator/>
  <dc:language>en</dc:language>
  <cp:keywords/>
  <dcterms:created xsi:type="dcterms:W3CDTF">2026-10-10T07:31:57Z</dcterms:created>
  <dcterms:modified xsi:type="dcterms:W3CDTF">2026-10-10T07:31:57Z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