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Medellín,</w:t>
      </w:r>
      <w:r>
        <w:t xml:space="preserve"> </w:t>
      </w:r>
      <w:r>
        <w:t xml:space="preserve">Colombia</w:t>
      </w:r>
    </w:p>
    <w:bookmarkStart w:id="20" w:name="quotation-estimate"/>
    <w:p>
      <w:pPr>
        <w:pStyle w:val="Heading1"/>
      </w:pPr>
      <w:r>
        <w:t xml:space="preserve">Quotation Estimate</w:t>
      </w:r>
    </w:p>
    <w:p>
      <w:pPr>
        <w:pStyle w:val="FirstParagraph"/>
      </w:pPr>
      <w:r>
        <w:t xml:space="preserve">Professional Legal Services — Medellín, Colombia</w:t>
      </w:r>
    </w:p>
    <w:p>
      <w:pPr>
        <w:pStyle w:val="BodyText"/>
      </w:pPr>
      <w:r>
        <w:rPr>
          <w:bCs/>
          <w:b/>
        </w:rPr>
        <w:t xml:space="preserve">Quotation No.:</w:t>
      </w:r>
      <w:r>
        <w:t xml:space="preserve"> </w:t>
      </w:r>
      <w:r>
        <w:t xml:space="preserve">QTE-MDE-2025-0487  | </w:t>
      </w:r>
      <w:r>
        <w:t xml:space="preserve"> </w:t>
      </w:r>
      <w:r>
        <w:rPr>
          <w:bCs/>
          <w:b/>
        </w:rPr>
        <w:t xml:space="preserve">Date Issued:</w:t>
      </w:r>
      <w:r>
        <w:t xml:space="preserve"> </w:t>
      </w:r>
      <w:r>
        <w:t xml:space="preserve">June 15, 2025  | </w:t>
      </w:r>
      <w:r>
        <w:t xml:space="preserve"> </w:t>
      </w:r>
      <w:r>
        <w:rPr>
          <w:bCs/>
          <w:b/>
        </w:rPr>
        <w:t xml:space="preserve">Validity:</w:t>
      </w:r>
      <w:r>
        <w:t xml:space="preserve"> </w:t>
      </w:r>
      <w:r>
        <w:t xml:space="preserve">30 Calendar Days</w:t>
      </w:r>
    </w:p>
    <w:bookmarkEnd w:id="20"/>
    <w:p>
      <w:pPr>
        <w:pStyle w:val="BodyText"/>
      </w:pPr>
      <w:r>
        <w:rPr>
          <w:bCs/>
          <w:b/>
        </w:rPr>
        <w:t xml:space="preserve">Issued By:</w:t>
      </w:r>
      <w:r>
        <w:br/>
      </w:r>
      <w:r>
        <w:t xml:space="preserve">Estudio Jurídico Andino S.A.S.</w:t>
      </w:r>
      <w:r>
        <w:br/>
      </w:r>
      <w:r>
        <w:t xml:space="preserve">Lawyer: Dra. Carolina Restrepo Vélez</w:t>
      </w:r>
      <w:r>
        <w:br/>
      </w:r>
      <w:r>
        <w:t xml:space="preserve">Bar Registration: C.P. 118.442 — Superintendencia de Notarías y Registro, Colombia</w:t>
      </w:r>
      <w:r>
        <w:br/>
      </w:r>
      <w:r>
        <w:t xml:space="preserve">Address: Calle 43A # 52-150, Of. 904, El Poblado</w:t>
      </w:r>
      <w:r>
        <w:br/>
      </w:r>
      <w:r>
        <w:t xml:space="preserve">Medellín, Antioquia, Colombia</w:t>
      </w:r>
      <w:r>
        <w:br/>
      </w:r>
      <w:r>
        <w:t xml:space="preserve">Tel: +57 (604) 444 7821</w:t>
      </w:r>
      <w:r>
        <w:br/>
      </w:r>
      <w:r>
        <w:t xml:space="preserve">Email: carolina.restrepo@ejandino.co</w:t>
      </w:r>
    </w:p>
    <w:p>
      <w:pPr>
        <w:pStyle w:val="BodyText"/>
      </w:pPr>
      <w:r>
        <w:rPr>
          <w:bCs/>
          <w:b/>
        </w:rPr>
        <w:t xml:space="preserve">Prepared For:</w:t>
      </w:r>
      <w:r>
        <w:br/>
      </w:r>
      <w:r>
        <w:t xml:space="preserve">Mr. James A. Whitfield</w:t>
      </w:r>
      <w:r>
        <w:br/>
      </w:r>
      <w:r>
        <w:t xml:space="preserve">Whitfield International Trading LLC</w:t>
      </w:r>
      <w:r>
        <w:br/>
      </w:r>
      <w:r>
        <w:t xml:space="preserve">2847 Commerce Drive, Suite 310</w:t>
      </w:r>
      <w:r>
        <w:br/>
      </w:r>
      <w:r>
        <w:t xml:space="preserve">Austin, TX 78701, USA</w:t>
      </w:r>
      <w:r>
        <w:br/>
      </w:r>
      <w:r>
        <w:t xml:space="preserve">Contact: j.whitfield@witl.com</w:t>
      </w:r>
      <w:r>
        <w:br/>
      </w:r>
      <w:r>
        <w:t xml:space="preserve">NIT Reference: 901.234.567-8</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Estudio Jurídico Andino S.A.S., a registered law firm operating in</w:t>
      </w:r>
      <w:r>
        <w:t xml:space="preserve"> </w:t>
      </w:r>
      <w:r>
        <w:t xml:space="preserve">Medellín, Colombia</w:t>
      </w:r>
      <w:r>
        <w:t xml:space="preserve">, to provide Mr. James A. Whitfield with a comprehensive and transparent breakdown of professional</w:t>
      </w:r>
      <w:r>
        <w:t xml:space="preserve"> </w:t>
      </w:r>
      <w:r>
        <w:t xml:space="preserve">Lawyer</w:t>
      </w:r>
      <w:r>
        <w:t xml:space="preserve"> </w:t>
      </w:r>
      <w:r>
        <w:t xml:space="preserve">services required for the representation of his commercial interests before the judicial and administrative authorities of the Department of Antioquia. This document constitutes a binding estimate of fees, expenses, and professional charges for the scope of legal work described herein, in full compliance with the Colombian General Code of Procedure (Código General del Proceso, Ley 1564 de 2012) and the applicable regulations of the Colombian Bar Association (Colegio de Abogados de Medellín).</w:t>
      </w:r>
    </w:p>
    <w:bookmarkEnd w:id="21"/>
    <w:bookmarkStart w:id="22" w:name="scope-of-legal-services"/>
    <w:p>
      <w:pPr>
        <w:pStyle w:val="Heading2"/>
      </w:pPr>
      <w:r>
        <w:t xml:space="preserve">2. Scope of Legal Services</w:t>
      </w:r>
    </w:p>
    <w:p>
      <w:pPr>
        <w:pStyle w:val="FirstParagraph"/>
      </w:pPr>
      <w:r>
        <w:t xml:space="preserve">The</w:t>
      </w:r>
      <w:r>
        <w:t xml:space="preserve"> </w:t>
      </w:r>
      <w:r>
        <w:t xml:space="preserve">Lawyer</w:t>
      </w:r>
      <w:r>
        <w:t xml:space="preserve"> </w:t>
      </w:r>
      <w:r>
        <w:t xml:space="preserve">engaged under this</w:t>
      </w:r>
      <w:r>
        <w:t xml:space="preserve"> </w:t>
      </w:r>
      <w:r>
        <w:t xml:space="preserve">Quotation Estimate</w:t>
      </w:r>
      <w:r>
        <w:t xml:space="preserve"> </w:t>
      </w:r>
      <w:r>
        <w:t xml:space="preserve">shall perform the following professional services within the jurisdiction of</w:t>
      </w:r>
      <w:r>
        <w:t xml:space="preserve"> </w:t>
      </w:r>
      <w:r>
        <w:t xml:space="preserve">Medellín, Colombia</w:t>
      </w:r>
      <w:r>
        <w:t xml:space="preserve">:</w:t>
      </w:r>
    </w:p>
    <w:p>
      <w:pPr>
        <w:numPr>
          <w:ilvl w:val="0"/>
          <w:numId w:val="1001"/>
        </w:numPr>
        <w:pStyle w:val="Compact"/>
      </w:pPr>
      <w:r>
        <w:t xml:space="preserve">Full legal representation before the Civil and Commercial Courts of the Judicial Circuit of Medellín (Juzgados Civiles y Comerciales del Circuito de Medellín) in connection with a commercial contract dispute involving a supply agreement worth approximately COP 480,000,000.</w:t>
      </w:r>
    </w:p>
    <w:p>
      <w:pPr>
        <w:numPr>
          <w:ilvl w:val="0"/>
          <w:numId w:val="1001"/>
        </w:numPr>
        <w:pStyle w:val="Compact"/>
      </w:pPr>
      <w:r>
        <w:t xml:space="preserve">Drafting, review, and negotiation of all legal pleadings, motions, and written submissions required throughout the litigation process, including the initial complaint (demanda), answer (contestación), and any counterclaims.</w:t>
      </w:r>
    </w:p>
    <w:p>
      <w:pPr>
        <w:numPr>
          <w:ilvl w:val="0"/>
          <w:numId w:val="1001"/>
        </w:numPr>
        <w:pStyle w:val="Compact"/>
      </w:pPr>
      <w:r>
        <w:t xml:space="preserve">Representation at all hearings, evidentiary sessions, and oral arguments scheduled before the competent court in the El Poblado and Laureles judicial districts of Medellín.</w:t>
      </w:r>
    </w:p>
    <w:p>
      <w:pPr>
        <w:numPr>
          <w:ilvl w:val="0"/>
          <w:numId w:val="1001"/>
        </w:numPr>
        <w:pStyle w:val="Compact"/>
      </w:pPr>
      <w:r>
        <w:t xml:space="preserve">Coordination with the Notary Public (Notaría) and the Public Registry of Property (Oficina de Registro de Instrumentos Públicos) of Medellín for the registration of any enforceable judgment or settlement agreement.</w:t>
      </w:r>
    </w:p>
    <w:p>
      <w:pPr>
        <w:numPr>
          <w:ilvl w:val="0"/>
          <w:numId w:val="1001"/>
        </w:numPr>
        <w:pStyle w:val="Compact"/>
      </w:pPr>
      <w:r>
        <w:t xml:space="preserve">Advisory consultations (up to 12 hours) regarding Colombian commercial law, tax implications under the Estatuto Tributario, and cross-border enforcement considerations for the client's U.S.-based entity.</w:t>
      </w:r>
    </w:p>
    <w:p>
      <w:pPr>
        <w:numPr>
          <w:ilvl w:val="0"/>
          <w:numId w:val="1001"/>
        </w:numPr>
        <w:pStyle w:val="Compact"/>
      </w:pPr>
      <w:r>
        <w:t xml:space="preserve">Preparation of a final legal opinion letter summarizing the outcome and providing recommendations for future contract structuring in the Colombian market.</w:t>
      </w:r>
    </w:p>
    <w:bookmarkEnd w:id="22"/>
    <w:bookmarkStart w:id="23" w:name="fee-structure-and-cost-breakdown"/>
    <w:p>
      <w:pPr>
        <w:pStyle w:val="Heading2"/>
      </w:pPr>
      <w:r>
        <w:t xml:space="preserve">3. Fee Structure and Cost Breakdown</w:t>
      </w:r>
    </w:p>
    <w:p>
      <w:pPr>
        <w:pStyle w:val="FirstParagraph"/>
      </w:pPr>
      <w:r>
        <w:t xml:space="preserve">The following</w:t>
      </w:r>
      <w:r>
        <w:t xml:space="preserve"> </w:t>
      </w:r>
      <w:r>
        <w:t xml:space="preserve">Quotation Estimate</w:t>
      </w:r>
      <w:r>
        <w:t xml:space="preserve"> </w:t>
      </w:r>
      <w:r>
        <w:t xml:space="preserve">outlines all professional fees and reimbursable expenses. All monetary values are expressed in Colombian Pesos (COP) unless otherwise indicated. Exchange rate reference: 1 USD = 4,120 COP (Banco de la República, June 2025).</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Estimated Hours</w:t>
            </w:r>
          </w:p>
        </w:tc>
        <w:tc>
          <w:tcPr/>
          <w:p>
            <w:pPr>
              <w:pStyle w:val="Compact"/>
              <w:jc w:val="left"/>
            </w:pPr>
            <w:r>
              <w:t xml:space="preserve">Rate (COP/hour)</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Initial case assessment, file review, and strategy development</w:t>
            </w:r>
          </w:p>
        </w:tc>
        <w:tc>
          <w:tcPr/>
          <w:p>
            <w:pPr>
              <w:pStyle w:val="Compact"/>
              <w:jc w:val="left"/>
            </w:pPr>
            <w:r>
              <w:t xml:space="preserve">10</w:t>
            </w:r>
          </w:p>
        </w:tc>
        <w:tc>
          <w:tcPr/>
          <w:p>
            <w:pPr>
              <w:pStyle w:val="Compact"/>
              <w:jc w:val="left"/>
            </w:pPr>
            <w:r>
              <w:t xml:space="preserve">350,000</w:t>
            </w:r>
          </w:p>
        </w:tc>
        <w:tc>
          <w:tcPr/>
          <w:p>
            <w:pPr>
              <w:pStyle w:val="Compact"/>
              <w:jc w:val="left"/>
            </w:pPr>
            <w:r>
              <w:t xml:space="preserve">3,500,000</w:t>
            </w:r>
          </w:p>
        </w:tc>
      </w:tr>
      <w:tr>
        <w:tc>
          <w:tcPr/>
          <w:p>
            <w:pPr>
              <w:pStyle w:val="Compact"/>
              <w:jc w:val="left"/>
            </w:pPr>
            <w:r>
              <w:t xml:space="preserve">2</w:t>
            </w:r>
          </w:p>
        </w:tc>
        <w:tc>
          <w:tcPr/>
          <w:p>
            <w:pPr>
              <w:pStyle w:val="Compact"/>
              <w:jc w:val="left"/>
            </w:pPr>
            <w:r>
              <w:t xml:space="preserve">Drafting and filing of the commercial complaint (demanda)</w:t>
            </w:r>
          </w:p>
        </w:tc>
        <w:tc>
          <w:tcPr/>
          <w:p>
            <w:pPr>
              <w:pStyle w:val="Compact"/>
              <w:jc w:val="left"/>
            </w:pPr>
            <w:r>
              <w:t xml:space="preserve">25</w:t>
            </w:r>
          </w:p>
        </w:tc>
        <w:tc>
          <w:tcPr/>
          <w:p>
            <w:pPr>
              <w:pStyle w:val="Compact"/>
              <w:jc w:val="left"/>
            </w:pPr>
            <w:r>
              <w:t xml:space="preserve">350,000</w:t>
            </w:r>
          </w:p>
        </w:tc>
        <w:tc>
          <w:tcPr/>
          <w:p>
            <w:pPr>
              <w:pStyle w:val="Compact"/>
              <w:jc w:val="left"/>
            </w:pPr>
            <w:r>
              <w:t xml:space="preserve">8,750,000</w:t>
            </w:r>
          </w:p>
        </w:tc>
      </w:tr>
      <w:tr>
        <w:tc>
          <w:tcPr/>
          <w:p>
            <w:pPr>
              <w:pStyle w:val="Compact"/>
              <w:jc w:val="left"/>
            </w:pPr>
            <w:r>
              <w:t xml:space="preserve">3</w:t>
            </w:r>
          </w:p>
        </w:tc>
        <w:tc>
          <w:tcPr/>
          <w:p>
            <w:pPr>
              <w:pStyle w:val="Compact"/>
              <w:jc w:val="left"/>
            </w:pPr>
            <w:r>
              <w:t xml:space="preserve">Court representation and hearing attendance (estimated 6 sessions)</w:t>
            </w:r>
          </w:p>
        </w:tc>
        <w:tc>
          <w:tcPr/>
          <w:p>
            <w:pPr>
              <w:pStyle w:val="Compact"/>
              <w:jc w:val="left"/>
            </w:pPr>
            <w:r>
              <w:t xml:space="preserve">30</w:t>
            </w:r>
          </w:p>
        </w:tc>
        <w:tc>
          <w:tcPr/>
          <w:p>
            <w:pPr>
              <w:pStyle w:val="Compact"/>
              <w:jc w:val="left"/>
            </w:pPr>
            <w:r>
              <w:t xml:space="preserve">400,000</w:t>
            </w:r>
          </w:p>
        </w:tc>
        <w:tc>
          <w:tcPr/>
          <w:p>
            <w:pPr>
              <w:pStyle w:val="Compact"/>
              <w:jc w:val="left"/>
            </w:pPr>
            <w:r>
              <w:t xml:space="preserve">12,000,000</w:t>
            </w:r>
          </w:p>
        </w:tc>
      </w:tr>
      <w:tr>
        <w:tc>
          <w:tcPr/>
          <w:p>
            <w:pPr>
              <w:pStyle w:val="Compact"/>
              <w:jc w:val="left"/>
            </w:pPr>
            <w:r>
              <w:t xml:space="preserve">4</w:t>
            </w:r>
          </w:p>
        </w:tc>
        <w:tc>
          <w:tcPr/>
          <w:p>
            <w:pPr>
              <w:pStyle w:val="Compact"/>
              <w:jc w:val="left"/>
            </w:pPr>
            <w:r>
              <w:t xml:space="preserve">Evidentiary preparation, expert witness coordination, and document authentication</w:t>
            </w:r>
          </w:p>
        </w:tc>
        <w:tc>
          <w:tcPr/>
          <w:p>
            <w:pPr>
              <w:pStyle w:val="Compact"/>
              <w:jc w:val="left"/>
            </w:pPr>
            <w:r>
              <w:t xml:space="preserve">20</w:t>
            </w:r>
          </w:p>
        </w:tc>
        <w:tc>
          <w:tcPr/>
          <w:p>
            <w:pPr>
              <w:pStyle w:val="Compact"/>
              <w:jc w:val="left"/>
            </w:pPr>
            <w:r>
              <w:t xml:space="preserve">350,000</w:t>
            </w:r>
          </w:p>
        </w:tc>
        <w:tc>
          <w:tcPr/>
          <w:p>
            <w:pPr>
              <w:pStyle w:val="Compact"/>
              <w:jc w:val="left"/>
            </w:pPr>
            <w:r>
              <w:t xml:space="preserve">7,000,000</w:t>
            </w:r>
          </w:p>
        </w:tc>
      </w:tr>
      <w:tr>
        <w:tc>
          <w:tcPr/>
          <w:p>
            <w:pPr>
              <w:pStyle w:val="Compact"/>
              <w:jc w:val="left"/>
            </w:pPr>
            <w:r>
              <w:t xml:space="preserve">5</w:t>
            </w:r>
          </w:p>
        </w:tc>
        <w:tc>
          <w:tcPr/>
          <w:p>
            <w:pPr>
              <w:pStyle w:val="Compact"/>
              <w:jc w:val="left"/>
            </w:pPr>
            <w:r>
              <w:t xml:space="preserve">Advisory consultations and written legal opinions</w:t>
            </w:r>
          </w:p>
        </w:tc>
        <w:tc>
          <w:tcPr/>
          <w:p>
            <w:pPr>
              <w:pStyle w:val="Compact"/>
              <w:jc w:val="left"/>
            </w:pPr>
            <w:r>
              <w:t xml:space="preserve">12</w:t>
            </w:r>
          </w:p>
        </w:tc>
        <w:tc>
          <w:tcPr/>
          <w:p>
            <w:pPr>
              <w:pStyle w:val="Compact"/>
              <w:jc w:val="left"/>
            </w:pPr>
            <w:r>
              <w:t xml:space="preserve">300,000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Post-judgment enforcement, registry filings, and final opinion letter</w:t>
            </w:r>
          </w:p>
        </w:tc>
        <w:tc>
          <w:tcPr/>
          <w:p>
            <w:pPr>
              <w:pStyle w:val="Compact"/>
              <w:jc w:val="left"/>
            </w:pPr>
            <w:r>
              <w:t xml:space="preserve">15</w:t>
            </w:r>
          </w:p>
        </w:tc>
        <w:tc>
          <w:tcPr/>
          <w:p>
            <w:pPr>
              <w:pStyle w:val="Compact"/>
              <w:jc w:val="left"/>
            </w:pPr>
            <w:r>
              <w:t xml:space="preserve">350,000</w:t>
            </w:r>
          </w:p>
        </w:tc>
        <w:tc>
          <w:tcPr/>
          <w:p>
            <w:pPr>
              <w:pStyle w:val="Compact"/>
              <w:jc w:val="left"/>
            </w:pPr>
            <w:r>
              <w:t xml:space="preserve">5,250,000</w:t>
            </w:r>
          </w:p>
        </w:tc>
      </w:tr>
      <w:tr>
        <w:tc>
          <w:tcPr/>
          <w:p>
            <w:pPr>
              <w:pStyle w:val="Compact"/>
              <w:jc w:val="left"/>
            </w:pPr>
            <w:r>
              <w:t xml:space="preserve">7</w:t>
            </w:r>
          </w:p>
        </w:tc>
        <w:tc>
          <w:tcPr/>
          <w:p>
            <w:pPr>
              <w:pStyle w:val="Compact"/>
              <w:jc w:val="left"/>
            </w:pPr>
            <w:r>
              <w:t xml:space="preserve">Court filing fees, notary costs, and registry charges (Medellín, Antioquia)</w:t>
            </w:r>
          </w:p>
        </w:tc>
        <w:tc>
          <w:tcPr>
            <w:gridSpan w:val="2"/>
          </w:tcPr>
          <w:p>
            <w:pPr>
              <w:pStyle w:val="Compact"/>
              <w:jc w:val="left"/>
            </w:pPr>
            <w:r>
              <w:t xml:space="preserve">Flat fee</w:t>
            </w:r>
          </w:p>
        </w:tc>
        <w:tc>
          <w:tcPr/>
          <w:p>
            <w:pPr>
              <w:pStyle w:val="Compact"/>
              <w:jc w:val="left"/>
            </w:pPr>
            <w:r>
              <w:t xml:space="preserve">1,800,000</w:t>
            </w:r>
          </w:p>
        </w:tc>
      </w:tr>
      <w:tr>
        <w:tc>
          <w:tcPr/>
          <w:p>
            <w:pPr>
              <w:pStyle w:val="Compact"/>
              <w:jc w:val="left"/>
            </w:pPr>
            <w:r>
              <w:t xml:space="preserve">8</w:t>
            </w:r>
          </w:p>
        </w:tc>
        <w:tc>
          <w:tcPr/>
          <w:p>
            <w:pPr>
              <w:pStyle w:val="Compact"/>
              <w:jc w:val="left"/>
            </w:pPr>
            <w:r>
              <w:t xml:space="preserve">Travel and local transportation within the Medellín metropolitan area</w:t>
            </w:r>
          </w:p>
        </w:tc>
        <w:tc>
          <w:tcPr>
            <w:gridSpan w:val="2"/>
          </w:tcPr>
          <w:p>
            <w:pPr>
              <w:pStyle w:val="Compact"/>
              <w:jc w:val="left"/>
            </w:pPr>
            <w:r>
              <w:t xml:space="preserve">Estimated</w:t>
            </w:r>
          </w:p>
        </w:tc>
        <w:tc>
          <w:tcPr/>
          <w:p>
            <w:pPr>
              <w:pStyle w:val="Compact"/>
              <w:jc w:val="left"/>
            </w:pPr>
            <w:r>
              <w:t xml:space="preserve">600,000</w:t>
            </w:r>
          </w:p>
        </w:tc>
      </w:tr>
      <w:tr>
        <w:tc>
          <w:tcPr>
            <w:gridSpan w:val="4"/>
          </w:tcPr>
          <w:p>
            <w:pPr>
              <w:pStyle w:val="Compact"/>
              <w:jc w:val="right"/>
            </w:pPr>
            <w:r>
              <w:t xml:space="preserve">TOTAL ESTIMATED FEE (COP)</w:t>
            </w:r>
          </w:p>
        </w:tc>
        <w:tc>
          <w:tcPr/>
          <w:p>
            <w:pPr>
              <w:pStyle w:val="Compact"/>
              <w:jc w:val="left"/>
            </w:pPr>
            <w:r>
              <w:t xml:space="preserve">42,500,000</w:t>
            </w:r>
          </w:p>
        </w:tc>
      </w:tr>
      <w:tr>
        <w:tc>
          <w:tcPr>
            <w:gridSpan w:val="4"/>
          </w:tcPr>
          <w:p>
            <w:pPr>
              <w:pStyle w:val="Compact"/>
              <w:jc w:val="right"/>
            </w:pPr>
            <w:r>
              <w:t xml:space="preserve">TOTAL ESTIMATED FEE (USD, approx.)</w:t>
            </w:r>
          </w:p>
        </w:tc>
        <w:tc>
          <w:tcPr/>
          <w:p>
            <w:pPr>
              <w:pStyle w:val="Compact"/>
              <w:jc w:val="left"/>
            </w:pPr>
            <w:r>
              <w:t xml:space="preserve">10,315.53</w:t>
            </w:r>
          </w:p>
        </w:tc>
      </w:tr>
    </w:tbl>
    <w:bookmarkEnd w:id="23"/>
    <w:bookmarkStart w:id="24" w:name="payment-terms"/>
    <w:p>
      <w:pPr>
        <w:pStyle w:val="Heading2"/>
      </w:pPr>
      <w:r>
        <w:t xml:space="preserve">4. Payment Terms</w:t>
      </w:r>
    </w:p>
    <w:p>
      <w:pPr>
        <w:pStyle w:val="FirstParagraph"/>
      </w:pPr>
      <w:r>
        <w:t xml:space="preserve">Payment for the services described in this</w:t>
      </w:r>
      <w:r>
        <w:t xml:space="preserve"> </w:t>
      </w:r>
      <w:r>
        <w:t xml:space="preserve">Quotation Estimate</w:t>
      </w:r>
      <w:r>
        <w:t xml:space="preserve"> </w:t>
      </w:r>
      <w:r>
        <w:t xml:space="preserve">shall be made as follows:</w:t>
      </w:r>
    </w:p>
    <w:p>
      <w:pPr>
        <w:numPr>
          <w:ilvl w:val="0"/>
          <w:numId w:val="1002"/>
        </w:numPr>
        <w:pStyle w:val="Compact"/>
      </w:pPr>
      <w:r>
        <w:rPr>
          <w:bCs/>
          <w:b/>
        </w:rPr>
        <w:t xml:space="preserve">Retainer (30%):</w:t>
      </w:r>
      <w:r>
        <w:t xml:space="preserve"> </w:t>
      </w:r>
      <w:r>
        <w:t xml:space="preserve">COP 12,750,000 due upon acceptance of this quotation, payable via wire transfer to the firm's account at Banco de Bogotá, Medellín branch (Cuenta: 001-456-789-01).</w:t>
      </w:r>
    </w:p>
    <w:p>
      <w:pPr>
        <w:numPr>
          <w:ilvl w:val="0"/>
          <w:numId w:val="1002"/>
        </w:numPr>
        <w:pStyle w:val="Compact"/>
      </w:pPr>
      <w:r>
        <w:rPr>
          <w:bCs/>
          <w:b/>
        </w:rPr>
        <w:t xml:space="preserve">Progress Payment (40%):</w:t>
      </w:r>
      <w:r>
        <w:t xml:space="preserve"> </w:t>
      </w:r>
      <w:r>
        <w:t xml:space="preserve">COP 17,000,000 due upon filing of the initial complaint before the competent court in Medellín.</w:t>
      </w:r>
    </w:p>
    <w:p>
      <w:pPr>
        <w:numPr>
          <w:ilvl w:val="0"/>
          <w:numId w:val="1002"/>
        </w:numPr>
        <w:pStyle w:val="Compact"/>
      </w:pPr>
      <w:r>
        <w:rPr>
          <w:bCs/>
          <w:b/>
        </w:rPr>
        <w:t xml:space="preserve">Final Payment (30%):</w:t>
      </w:r>
      <w:r>
        <w:t xml:space="preserve"> </w:t>
      </w:r>
      <w:r>
        <w:t xml:space="preserve">COP 12,750,000 due upon delivery of the final legal opinion letter and completion of all registry filings.</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issuance. Beyond this period, fees may be adjusted to reflect changes in the Colombian Consumer Price Index (IPC) published by DANE.</w:t>
      </w:r>
    </w:p>
    <w:p>
      <w:pPr>
        <w:numPr>
          <w:ilvl w:val="0"/>
          <w:numId w:val="1003"/>
        </w:numPr>
        <w:pStyle w:val="Compact"/>
      </w:pPr>
      <w:r>
        <w:t xml:space="preserve">All services shall be performed in accordance with the ethical code of the Colegio de Abogados de Medellín and the professional standards established by the Colombian Ministry of Justice (Ministerio de Justicia y del Derecho).</w:t>
      </w:r>
    </w:p>
    <w:p>
      <w:pPr>
        <w:numPr>
          <w:ilvl w:val="0"/>
          <w:numId w:val="1003"/>
        </w:numPr>
        <w:pStyle w:val="Compact"/>
      </w:pPr>
      <w:r>
        <w:t xml:space="preserve">The</w:t>
      </w:r>
      <w:r>
        <w:t xml:space="preserve"> </w:t>
      </w:r>
      <w:r>
        <w:t xml:space="preserve">Lawyer</w:t>
      </w:r>
      <w:r>
        <w:t xml:space="preserve"> </w:t>
      </w:r>
      <w:r>
        <w:t xml:space="preserve">designated under this engagement is Dra. Carolina Restrepo Vélez. In the event of her unavailability, a substitute attorney of equivalent seniority from Estudio Jurídico Andino S.A.S. shall be assigned with prior written notice to the client.</w:t>
      </w:r>
    </w:p>
    <w:p>
      <w:pPr>
        <w:numPr>
          <w:ilvl w:val="0"/>
          <w:numId w:val="1003"/>
        </w:numPr>
        <w:pStyle w:val="Compact"/>
      </w:pPr>
      <w:r>
        <w:t xml:space="preserve">Any additional services outside the scope defined in Section 2 shall be subject to a supplementary</w:t>
      </w:r>
      <w:r>
        <w:t xml:space="preserve"> </w:t>
      </w:r>
      <w:r>
        <w:t xml:space="preserve">Quotation Estimate</w:t>
      </w:r>
      <w:r>
        <w:t xml:space="preserve"> </w:t>
      </w:r>
      <w:r>
        <w:t xml:space="preserve">and require the client's written authorization before commencement.</w:t>
      </w:r>
    </w:p>
    <w:p>
      <w:pPr>
        <w:numPr>
          <w:ilvl w:val="0"/>
          <w:numId w:val="1003"/>
        </w:numPr>
        <w:pStyle w:val="Compact"/>
      </w:pPr>
      <w:r>
        <w:t xml:space="preserve">All communications, pleadings, and legal documents shall be prepared in Spanish, the official language of the Colombian judicial system in Medellín. English translations of key documents will be provided at no additional cost.</w:t>
      </w:r>
    </w:p>
    <w:p>
      <w:pPr>
        <w:numPr>
          <w:ilvl w:val="0"/>
          <w:numId w:val="1003"/>
        </w:numPr>
        <w:pStyle w:val="Compact"/>
      </w:pPr>
      <w:r>
        <w:t xml:space="preserve">This engagement is governed by the laws of the Republic of Colombia. Any disputes arising from this</w:t>
      </w:r>
      <w:r>
        <w:t xml:space="preserve"> </w:t>
      </w:r>
      <w:r>
        <w:t xml:space="preserve">Quotation Estimate</w:t>
      </w:r>
      <w:r>
        <w:t xml:space="preserve"> </w:t>
      </w:r>
      <w:r>
        <w:t xml:space="preserve">shall be resolved by the competent courts of Medellín, Antioquia, or by arbitration before the Centro de Arbitraje y Conciliación de la Cámara de Comercio de Medellín, at the client's election.</w:t>
      </w:r>
    </w:p>
    <w:p>
      <w:pPr>
        <w:numPr>
          <w:ilvl w:val="0"/>
          <w:numId w:val="1003"/>
        </w:numPr>
        <w:pStyle w:val="Compact"/>
      </w:pPr>
      <w:r>
        <w:t xml:space="preserve">The firm maintains professional liability insurance with Seguros Bolívar S.A. (Policy No. SB-2025-78412) covering all legal services rendered in Medellín and throughout the territory of Colombia.</w:t>
      </w:r>
    </w:p>
    <w:p>
      <w:pPr>
        <w:numPr>
          <w:ilvl w:val="0"/>
          <w:numId w:val="1003"/>
        </w:numPr>
        <w:pStyle w:val="Compact"/>
      </w:pPr>
      <w:r>
        <w:t xml:space="preserve">Confidentiality: All information provided by the client shall be treated as strictly confidential in accordance with Article 15 of the Colombian Constitution (Right to Privacy) and the firm's internal data protection protocol compliant with Ley 1581 de 2012.</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of services, fee structure, and terms outlined herein. The</w:t>
      </w:r>
      <w:r>
        <w:t xml:space="preserve"> </w:t>
      </w:r>
      <w:r>
        <w:t xml:space="preserve">Lawyer</w:t>
      </w:r>
      <w:r>
        <w:t xml:space="preserve"> </w:t>
      </w:r>
      <w:r>
        <w:t xml:space="preserve">and Estudio Jurídico Andino S.A.S. confirm their commitment to providing the professional legal services described in this document within the jurisdiction of</w:t>
      </w:r>
      <w:r>
        <w:t xml:space="preserve"> </w:t>
      </w:r>
      <w:r>
        <w:t xml:space="preserve">Medellín, Colombia</w:t>
      </w:r>
      <w:r>
        <w:t xml:space="preserve">.</w:t>
      </w:r>
    </w:p>
    <w:p>
      <w:pPr>
        <w:pStyle w:val="BodyText"/>
      </w:pPr>
      <w:r>
        <w:rPr>
          <w:bCs/>
          <w:b/>
        </w:rPr>
        <w:t xml:space="preserve">Dra. Carolina Restrepo Vélez</w:t>
      </w:r>
      <w:r>
        <w:br/>
      </w:r>
      <w:r>
        <w:t xml:space="preserve">Lead Lawyer — Estudio Jurídico Andino S.A.S.</w:t>
      </w:r>
      <w:r>
        <w:br/>
      </w:r>
      <w:r>
        <w:t xml:space="preserve">C.P. 118.442 — Medellín, Colombia</w:t>
      </w:r>
      <w:r>
        <w:br/>
      </w:r>
      <w:r>
        <w:t xml:space="preserve">Date: _______________</w:t>
      </w:r>
    </w:p>
    <w:p>
      <w:pPr>
        <w:pStyle w:val="BodyText"/>
      </w:pPr>
      <w:r>
        <w:rPr>
          <w:bCs/>
          <w:b/>
        </w:rPr>
        <w:t xml:space="preserve">Mr. James A. Whitfield</w:t>
      </w:r>
      <w:r>
        <w:br/>
      </w:r>
      <w:r>
        <w:t xml:space="preserve">Client — Whitfield International Trading LLC</w:t>
      </w:r>
      <w:r>
        <w:br/>
      </w:r>
      <w:r>
        <w:t xml:space="preserve">Authorized Representative</w:t>
      </w:r>
      <w:r>
        <w:br/>
      </w:r>
      <w:r>
        <w:t xml:space="preserve">Date: _______________</w:t>
      </w:r>
    </w:p>
    <w:p>
      <w:pPr>
        <w:pStyle w:val="BodyText"/>
      </w:pPr>
      <w:r>
        <w:t xml:space="preserve">Estudio Jurídico Andino S.A.S. — NIT 901.234.567-8 — Calle 43A # 52-150, Of. 904, El Poblado, Medellín, Antioquia, Colombia</w:t>
      </w:r>
      <w:r>
        <w:br/>
      </w:r>
      <w:r>
        <w:t xml:space="preserve">This Quotation Estimate is a commercial document and does not constitute legal advice until formally accepted by both parties.</w:t>
      </w:r>
      <w:r>
        <w:br/>
      </w:r>
      <w:r>
        <w:t xml:space="preserve">© 2025 Estudio Jurídico Andino S.A.S. All rights reserved. — Medellín, Colombia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Medellín, Colombia</dc:title>
  <dc:creator/>
  <dc:language>en</dc:language>
  <cp:keywords/>
  <dcterms:created xsi:type="dcterms:W3CDTF">2026-10-10T09:04:20Z</dcterms:created>
  <dcterms:modified xsi:type="dcterms:W3CDTF">2026-10-10T09:04:20Z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