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Alexandria, Egypt</w:t>
      </w:r>
    </w:p>
    <w:bookmarkEnd w:id="20"/>
    <w:p>
      <w:pPr>
        <w:pStyle w:val="BodyText"/>
      </w:pPr>
      <w:r>
        <w:rPr>
          <w:bCs/>
          <w:b/>
        </w:rPr>
        <w:t xml:space="preserve">Al-Nile &amp; Partners Legal Counsel</w:t>
      </w:r>
      <w:r>
        <w:br/>
      </w:r>
      <w:r>
        <w:t xml:space="preserve">42 Corniche El-Nil Street, El-Montaza District</w:t>
      </w:r>
      <w:r>
        <w:br/>
      </w:r>
      <w:r>
        <w:t xml:space="preserve">Alexandria 21543, Egypt</w:t>
      </w:r>
      <w:r>
        <w:br/>
      </w:r>
      <w:r>
        <w:t xml:space="preserve">Tel: +20 3 482 5567 | Email: info@alnilepartners.eg</w:t>
      </w:r>
      <w:r>
        <w:br/>
      </w:r>
      <w:r>
        <w:t xml:space="preserve">Bar Registration No.: AXL-2019-0447</w:t>
      </w:r>
    </w:p>
    <w:p>
      <w:pPr>
        <w:pStyle w:val="BodyText"/>
      </w:pPr>
      <w:r>
        <w:rPr>
          <w:bCs/>
          <w:b/>
        </w:rPr>
        <w:t xml:space="preserve">Quotation No.:</w:t>
      </w:r>
      <w:r>
        <w:t xml:space="preserve"> </w:t>
      </w:r>
      <w:r>
        <w:t xml:space="preserve">QE-2025-0847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Adv. Mahmoud El-Sayed, Esq.</w:t>
      </w:r>
    </w:p>
    <w:p>
      <w:pPr>
        <w:pStyle w:val="BodyText"/>
      </w:pPr>
      <w:r>
        <w:rPr>
          <w:bCs/>
          <w:b/>
        </w:rPr>
        <w:t xml:space="preserve">Important Notice:</w:t>
      </w:r>
      <w:r>
        <w:t xml:space="preserve"> </w:t>
      </w:r>
      <w:r>
        <w:t xml:space="preserve">This Quotation Estimate is issued exclusively for legal services to be rendered by the undersigned Lawyer within the jurisdiction of Alexandria, Egypt. All fees are quoted in Egyptian Pounds (EGP) and are subject to the terms and conditions outlined herein. This document does not constitute a binding engagement until formally accepted in writing by the Client.</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Tarek Hassan Abdel-Rahman</w:t>
            </w:r>
          </w:p>
        </w:tc>
      </w:tr>
      <w:tr>
        <w:tc>
          <w:tcPr/>
          <w:p>
            <w:pPr>
              <w:pStyle w:val="Compact"/>
              <w:jc w:val="left"/>
            </w:pPr>
            <w:r>
              <w:t xml:space="preserve">National ID No.</w:t>
            </w:r>
          </w:p>
        </w:tc>
        <w:tc>
          <w:tcPr/>
          <w:p>
            <w:pPr>
              <w:pStyle w:val="Compact"/>
              <w:jc w:val="left"/>
            </w:pPr>
            <w:r>
              <w:t xml:space="preserve">28905120145678</w:t>
            </w:r>
          </w:p>
        </w:tc>
      </w:tr>
      <w:tr>
        <w:tc>
          <w:tcPr/>
          <w:p>
            <w:pPr>
              <w:pStyle w:val="Compact"/>
              <w:jc w:val="left"/>
            </w:pPr>
            <w:r>
              <w:t xml:space="preserve">Address</w:t>
            </w:r>
          </w:p>
        </w:tc>
        <w:tc>
          <w:tcPr/>
          <w:p>
            <w:pPr>
              <w:pStyle w:val="Compact"/>
              <w:jc w:val="left"/>
            </w:pPr>
            <w:r>
              <w:t xml:space="preserve">18 Fouad Street, El-Dokki, Alexandria, Egypt</w:t>
            </w:r>
          </w:p>
        </w:tc>
      </w:tr>
      <w:tr>
        <w:tc>
          <w:tcPr/>
          <w:p>
            <w:pPr>
              <w:pStyle w:val="Compact"/>
              <w:jc w:val="left"/>
            </w:pPr>
            <w:r>
              <w:t xml:space="preserve">Nature of Matter</w:t>
            </w:r>
          </w:p>
        </w:tc>
        <w:tc>
          <w:tcPr/>
          <w:p>
            <w:pPr>
              <w:pStyle w:val="Compact"/>
              <w:jc w:val="left"/>
            </w:pPr>
            <w:r>
              <w:t xml:space="preserve">Commercial contract dispute and corporate restructuring advisory</w:t>
            </w:r>
          </w:p>
        </w:tc>
      </w:tr>
      <w:tr>
        <w:tc>
          <w:tcPr/>
          <w:p>
            <w:pPr>
              <w:pStyle w:val="Compact"/>
              <w:jc w:val="left"/>
            </w:pPr>
            <w:r>
              <w:t xml:space="preserve">Relevant Court</w:t>
            </w:r>
          </w:p>
        </w:tc>
        <w:tc>
          <w:tcPr/>
          <w:p>
            <w:pPr>
              <w:pStyle w:val="Compact"/>
              <w:jc w:val="left"/>
            </w:pPr>
            <w:r>
              <w:t xml:space="preserve">Alexandria Commercial Court, First Instance</w:t>
            </w:r>
          </w:p>
        </w:tc>
      </w:tr>
    </w:tbl>
    <w:bookmarkEnd w:id="21"/>
    <w:bookmarkStart w:id="22" w:name="scope-of-legal-services"/>
    <w:p>
      <w:pPr>
        <w:pStyle w:val="Heading2"/>
      </w:pPr>
      <w:r>
        <w:t xml:space="preserve">2. Scope of Legal Services</w:t>
      </w:r>
    </w:p>
    <w:p>
      <w:pPr>
        <w:pStyle w:val="FirstParagraph"/>
      </w:pPr>
      <w:r>
        <w:t xml:space="preserve">The following Quotation Estimate details the comprehensive legal services that the undersigned Lawyer, registered with the Alexandria Bar Association, shall provide to the Client. All services shall be performed in accordance with the Egyptian Civil Code, the Egyptian Commercial Code, and applicable regulations of the Alexandria Judicial Circuit. The Lawyer shall act as the Client's sole legal representative in all matters pertaining to the dispute referenced above.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(EGP/hr)</w:t>
            </w:r>
          </w:p>
        </w:tc>
        <w:tc>
          <w:tcPr/>
          <w:p>
            <w:pPr>
              <w:pStyle w:val="Compact"/>
              <w:jc w:val="left"/>
            </w:pPr>
            <w:r>
              <w:t xml:space="preserve">Subtotal (EGP)</w:t>
            </w:r>
          </w:p>
        </w:tc>
      </w:tr>
      <w:tr>
        <w:tc>
          <w:tcPr/>
          <w:p>
            <w:pPr>
              <w:pStyle w:val="Compact"/>
              <w:jc w:val="left"/>
            </w:pPr>
            <w:r>
              <w:t xml:space="preserve">1</w:t>
            </w:r>
          </w:p>
        </w:tc>
        <w:tc>
          <w:tcPr/>
          <w:p>
            <w:pPr>
              <w:pStyle w:val="Compact"/>
              <w:jc w:val="left"/>
            </w:pPr>
            <w:r>
              <w:t xml:space="preserve">Initial consultation and case assessment at the Alexandria office, including review of all contractual documents and correspondence</w:t>
            </w:r>
          </w:p>
        </w:tc>
        <w:tc>
          <w:tcPr/>
          <w:p>
            <w:pPr>
              <w:pStyle w:val="Compact"/>
              <w:jc w:val="left"/>
            </w:pPr>
            <w:r>
              <w:t xml:space="preserve">4</w:t>
            </w:r>
          </w:p>
        </w:tc>
        <w:tc>
          <w:tcPr/>
          <w:p>
            <w:pPr>
              <w:pStyle w:val="Compact"/>
              <w:jc w:val="left"/>
            </w:pPr>
            <w:r>
              <w:t xml:space="preserve">1,500</w:t>
            </w:r>
          </w:p>
        </w:tc>
        <w:tc>
          <w:tcPr/>
          <w:p>
            <w:pPr>
              <w:pStyle w:val="Compact"/>
              <w:jc w:val="left"/>
            </w:pPr>
            <w:r>
              <w:t xml:space="preserve">6,000</w:t>
            </w:r>
          </w:p>
        </w:tc>
      </w:tr>
      <w:tr>
        <w:tc>
          <w:tcPr/>
          <w:p>
            <w:pPr>
              <w:pStyle w:val="Compact"/>
              <w:jc w:val="left"/>
            </w:pPr>
            <w:r>
              <w:t xml:space="preserve">2</w:t>
            </w:r>
          </w:p>
        </w:tc>
        <w:tc>
          <w:tcPr/>
          <w:p>
            <w:pPr>
              <w:pStyle w:val="Compact"/>
              <w:jc w:val="left"/>
            </w:pPr>
            <w:r>
              <w:t xml:space="preserve">Preparation and filing of the statement of claim before the Alexandria Commercial Court, including drafting of all supporting legal memoranda</w:t>
            </w:r>
          </w:p>
        </w:tc>
        <w:tc>
          <w:tcPr/>
          <w:p>
            <w:pPr>
              <w:pStyle w:val="Compact"/>
              <w:jc w:val="left"/>
            </w:pPr>
            <w:r>
              <w:t xml:space="preserve">12</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Representation at all preliminary hearings, evidence submission sessions, and interim proceedings before the Alexandria Commercial Court (estimated 6 sessions)</w:t>
            </w:r>
          </w:p>
        </w:tc>
        <w:tc>
          <w:tcPr/>
          <w:p>
            <w:pPr>
              <w:pStyle w:val="Compact"/>
              <w:jc w:val="left"/>
            </w:pPr>
            <w:r>
              <w:t xml:space="preserve">18</w:t>
            </w:r>
          </w:p>
        </w:tc>
        <w:tc>
          <w:tcPr/>
          <w:p>
            <w:pPr>
              <w:pStyle w:val="Compact"/>
              <w:jc w:val="left"/>
            </w:pPr>
            <w:r>
              <w:t xml:space="preserve">1,800</w:t>
            </w:r>
          </w:p>
        </w:tc>
        <w:tc>
          <w:tcPr/>
          <w:p>
            <w:pPr>
              <w:pStyle w:val="Compact"/>
              <w:jc w:val="left"/>
            </w:pPr>
            <w:r>
              <w:t xml:space="preserve">32,400</w:t>
            </w:r>
          </w:p>
        </w:tc>
      </w:tr>
      <w:tr>
        <w:tc>
          <w:tcPr/>
          <w:p>
            <w:pPr>
              <w:pStyle w:val="Compact"/>
              <w:jc w:val="left"/>
            </w:pPr>
            <w:r>
              <w:t xml:space="preserve">4</w:t>
            </w:r>
          </w:p>
        </w:tc>
        <w:tc>
          <w:tcPr/>
          <w:p>
            <w:pPr>
              <w:pStyle w:val="Compact"/>
              <w:jc w:val="left"/>
            </w:pPr>
            <w:r>
              <w:t xml:space="preserve">Preparation of legal opinions and expert witness coordination regarding the commercial contract breach under Egyptian law</w:t>
            </w:r>
          </w:p>
        </w:tc>
        <w:tc>
          <w:tcPr/>
          <w:p>
            <w:pPr>
              <w:pStyle w:val="Compact"/>
              <w:jc w:val="left"/>
            </w:pPr>
            <w:r>
              <w:t xml:space="preserve">8</w:t>
            </w:r>
          </w:p>
        </w:tc>
        <w:tc>
          <w:tcPr/>
          <w:p>
            <w:pPr>
              <w:pStyle w:val="Compact"/>
              <w:jc w:val="left"/>
            </w:pPr>
            <w:r>
              <w:t xml:space="preserve">1,500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Corporate restructuring advisory: drafting of amended shareholders' agreement, board resolutions, and filing with the Alexandria Trade Registry</w:t>
            </w:r>
          </w:p>
        </w:tc>
        <w:tc>
          <w:tcPr/>
          <w:p>
            <w:pPr>
              <w:pStyle w:val="Compact"/>
              <w:jc w:val="left"/>
            </w:pPr>
            <w:r>
              <w:t xml:space="preserve">10</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Settlement negotiation and mediation facilitation with opposing counsel, including preparation of settlement agreement for execution before the Alexandria Notary Public</w:t>
            </w:r>
          </w:p>
        </w:tc>
        <w:tc>
          <w:tcPr/>
          <w:p>
            <w:pPr>
              <w:pStyle w:val="Compact"/>
              <w:jc w:val="left"/>
            </w:pPr>
            <w:r>
              <w:t xml:space="preserve">6</w:t>
            </w:r>
          </w:p>
        </w:tc>
        <w:tc>
          <w:tcPr/>
          <w:p>
            <w:pPr>
              <w:pStyle w:val="Compact"/>
              <w:jc w:val="left"/>
            </w:pPr>
            <w:r>
              <w:t xml:space="preserve">1,800</w:t>
            </w:r>
          </w:p>
        </w:tc>
        <w:tc>
          <w:tcPr/>
          <w:p>
            <w:pPr>
              <w:pStyle w:val="Compact"/>
              <w:jc w:val="left"/>
            </w:pPr>
            <w:r>
              <w:t xml:space="preserve">10,800</w:t>
            </w:r>
          </w:p>
        </w:tc>
      </w:tr>
      <w:tr>
        <w:tc>
          <w:tcPr/>
          <w:p>
            <w:pPr>
              <w:pStyle w:val="Compact"/>
              <w:jc w:val="left"/>
            </w:pPr>
            <w:r>
              <w:t xml:space="preserve">7</w:t>
            </w:r>
          </w:p>
        </w:tc>
        <w:tc>
          <w:tcPr/>
          <w:p>
            <w:pPr>
              <w:pStyle w:val="Compact"/>
              <w:jc w:val="left"/>
            </w:pPr>
            <w:r>
              <w:t xml:space="preserve">Post-judgment enforcement proceedings and follow-up with the Alexandria Enforcement Office, if applicable</w:t>
            </w:r>
          </w:p>
        </w:tc>
        <w:tc>
          <w:tcPr/>
          <w:p>
            <w:pPr>
              <w:pStyle w:val="Compact"/>
              <w:jc w:val="left"/>
            </w:pPr>
            <w:r>
              <w:t xml:space="preserve">6</w:t>
            </w:r>
          </w:p>
        </w:tc>
        <w:tc>
          <w:tcPr/>
          <w:p>
            <w:pPr>
              <w:pStyle w:val="Compact"/>
              <w:jc w:val="left"/>
            </w:pPr>
            <w:r>
              <w:t xml:space="preserve">1,500</w:t>
            </w:r>
          </w:p>
        </w:tc>
        <w:tc>
          <w:tcPr/>
          <w:p>
            <w:pPr>
              <w:pStyle w:val="Compact"/>
              <w:jc w:val="left"/>
            </w:pPr>
            <w:r>
              <w:t xml:space="preserve">9,000</w:t>
            </w:r>
          </w:p>
        </w:tc>
      </w:tr>
      <w:tr>
        <w:tc>
          <w:tcPr>
            <w:gridSpan w:val="4"/>
          </w:tcPr>
          <w:p>
            <w:pPr>
              <w:pStyle w:val="Compact"/>
              <w:jc w:val="right"/>
            </w:pPr>
            <w:r>
              <w:t xml:space="preserve">TOTAL ESTIMATED PROFESSIONAL FEES</w:t>
            </w:r>
          </w:p>
        </w:tc>
        <w:tc>
          <w:tcPr/>
          <w:p>
            <w:pPr>
              <w:pStyle w:val="Compact"/>
              <w:jc w:val="left"/>
            </w:pPr>
            <w:r>
              <w:t xml:space="preserve">EGP 103,200</w:t>
            </w:r>
          </w:p>
        </w:tc>
      </w:tr>
    </w:tbl>
    <w:bookmarkEnd w:id="22"/>
    <w:bookmarkStart w:id="23" w:name="additional-costs-and-disbursements"/>
    <w:p>
      <w:pPr>
        <w:pStyle w:val="Heading2"/>
      </w:pPr>
      <w:r>
        <w:t xml:space="preserve">3. Additional Costs and Disbursements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No.</w:t>
            </w:r>
          </w:p>
        </w:tc>
        <w:tc>
          <w:tcPr/>
          <w:p>
            <w:pPr>
              <w:pStyle w:val="Compact"/>
              <w:jc w:val="left"/>
            </w:pPr>
            <w:r>
              <w:t xml:space="preserve">Item</w:t>
            </w:r>
          </w:p>
        </w:tc>
        <w:tc>
          <w:tcPr/>
          <w:p>
            <w:pPr>
              <w:pStyle w:val="Compact"/>
              <w:jc w:val="left"/>
            </w:pPr>
            <w:r>
              <w:t xml:space="preserve">Estimated Amount (EGP)</w:t>
            </w:r>
          </w:p>
        </w:tc>
      </w:tr>
      <w:tr>
        <w:tc>
          <w:tcPr/>
          <w:p>
            <w:pPr>
              <w:pStyle w:val="Compact"/>
              <w:jc w:val="left"/>
            </w:pPr>
            <w:r>
              <w:t xml:space="preserve">1</w:t>
            </w:r>
          </w:p>
        </w:tc>
        <w:tc>
          <w:tcPr/>
          <w:p>
            <w:pPr>
              <w:pStyle w:val="Compact"/>
              <w:jc w:val="left"/>
            </w:pPr>
            <w:r>
              <w:t xml:space="preserve">Court filing fees and stamp duties payable to the Alexandria Commercial Court</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Notary Public fees for document authentication in Alexandria</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Expert witness fees (commercial accountant, Alexandria-based)</w:t>
            </w:r>
          </w:p>
        </w:tc>
        <w:tc>
          <w:tcPr/>
          <w:p>
            <w:pPr>
              <w:pStyle w:val="Compact"/>
              <w:jc w:val="left"/>
            </w:pPr>
            <w:r>
              <w:t xml:space="preserve">8,000</w:t>
            </w:r>
          </w:p>
        </w:tc>
      </w:tr>
      <w:tr>
        <w:tc>
          <w:tcPr/>
          <w:p>
            <w:pPr>
              <w:pStyle w:val="Compact"/>
              <w:jc w:val="left"/>
            </w:pPr>
            <w:r>
              <w:t xml:space="preserve">4</w:t>
            </w:r>
          </w:p>
        </w:tc>
        <w:tc>
          <w:tcPr/>
          <w:p>
            <w:pPr>
              <w:pStyle w:val="Compact"/>
              <w:jc w:val="left"/>
            </w:pPr>
            <w:r>
              <w:t xml:space="preserve">Document reproduction, certified translations (Arabic/English), and courier services</w:t>
            </w:r>
          </w:p>
        </w:tc>
        <w:tc>
          <w:tcPr/>
          <w:p>
            <w:pPr>
              <w:pStyle w:val="Compact"/>
              <w:jc w:val="left"/>
            </w:pPr>
            <w:r>
              <w:t xml:space="preserve">1,500</w:t>
            </w:r>
          </w:p>
        </w:tc>
      </w:tr>
      <w:tr>
        <w:tc>
          <w:tcPr/>
          <w:p>
            <w:pPr>
              <w:pStyle w:val="Compact"/>
              <w:jc w:val="left"/>
            </w:pPr>
            <w:r>
              <w:t xml:space="preserve">5</w:t>
            </w:r>
          </w:p>
        </w:tc>
        <w:tc>
          <w:tcPr/>
          <w:p>
            <w:pPr>
              <w:pStyle w:val="Compact"/>
              <w:jc w:val="left"/>
            </w:pPr>
            <w:r>
              <w:t xml:space="preserve">Local transportation and travel within Alexandria for court appearances</w:t>
            </w:r>
          </w:p>
        </w:tc>
        <w:tc>
          <w:tcPr/>
          <w:p>
            <w:pPr>
              <w:pStyle w:val="Compact"/>
              <w:jc w:val="left"/>
            </w:pPr>
            <w:r>
              <w:t xml:space="preserve">2,000</w:t>
            </w:r>
          </w:p>
        </w:tc>
      </w:tr>
      <w:tr>
        <w:tc>
          <w:tcPr>
            <w:gridSpan w:val="2"/>
          </w:tcPr>
          <w:p>
            <w:pPr>
              <w:pStyle w:val="Compact"/>
              <w:jc w:val="right"/>
            </w:pPr>
            <w:r>
              <w:t xml:space="preserve">TOTAL ESTIMATED DISBURSEMENTS</w:t>
            </w:r>
          </w:p>
        </w:tc>
        <w:tc>
          <w:tcPr/>
          <w:p>
            <w:pPr>
              <w:pStyle w:val="Compact"/>
              <w:jc w:val="left"/>
            </w:pPr>
            <w:r>
              <w:t xml:space="preserve">EGP 17,200</w:t>
            </w:r>
          </w:p>
        </w:tc>
      </w:tr>
    </w:tbl>
    <w:bookmarkEnd w:id="23"/>
    <w:bookmarkStart w:id="24" w:name="grand-total"/>
    <w:p>
      <w:pPr>
        <w:pStyle w:val="Heading2"/>
      </w:pPr>
      <w:r>
        <w:t xml:space="preserve">4. Grand Total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(EGP)</w:t>
            </w:r>
          </w:p>
        </w:tc>
      </w:tr>
      <w:tr>
        <w:tc>
          <w:tcPr/>
          <w:p>
            <w:pPr>
              <w:pStyle w:val="Compact"/>
              <w:jc w:val="left"/>
            </w:pPr>
            <w:r>
              <w:t xml:space="preserve">Professional Legal Fees</w:t>
            </w:r>
          </w:p>
        </w:tc>
        <w:tc>
          <w:tcPr/>
          <w:p>
            <w:pPr>
              <w:pStyle w:val="Compact"/>
              <w:jc w:val="left"/>
            </w:pPr>
            <w:r>
              <w:t xml:space="preserve">103,200</w:t>
            </w:r>
          </w:p>
        </w:tc>
      </w:tr>
      <w:tr>
        <w:tc>
          <w:tcPr/>
          <w:p>
            <w:pPr>
              <w:pStyle w:val="Compact"/>
              <w:jc w:val="left"/>
            </w:pPr>
            <w:r>
              <w:t xml:space="preserve">Disbursements and Out-of-Pocket Expenses</w:t>
            </w:r>
          </w:p>
        </w:tc>
        <w:tc>
          <w:tcPr/>
          <w:p>
            <w:pPr>
              <w:pStyle w:val="Compact"/>
              <w:jc w:val="left"/>
            </w:pPr>
            <w:r>
              <w:t xml:space="preserve">17,200</w:t>
            </w:r>
          </w:p>
        </w:tc>
      </w:tr>
      <w:tr>
        <w:tc>
          <w:tcPr/>
          <w:p>
            <w:pPr>
              <w:pStyle w:val="Compact"/>
              <w:jc w:val="left"/>
            </w:pPr>
            <w:r>
              <w:t xml:space="preserve">GRAND TOTAL (before VAT)</w:t>
            </w:r>
          </w:p>
        </w:tc>
        <w:tc>
          <w:tcPr/>
          <w:p>
            <w:pPr>
              <w:pStyle w:val="Compact"/>
              <w:jc w:val="left"/>
            </w:pPr>
            <w:r>
              <w:t xml:space="preserve">EGP 120,400</w:t>
            </w:r>
          </w:p>
        </w:tc>
      </w:tr>
      <w:tr>
        <w:tc>
          <w:tcPr/>
          <w:p>
            <w:pPr>
              <w:pStyle w:val="Compact"/>
              <w:jc w:val="left"/>
            </w:pPr>
            <w:r>
              <w:t xml:space="preserve">VAT (14% as per Egyptian Tax Authority regulations)</w:t>
            </w:r>
          </w:p>
        </w:tc>
        <w:tc>
          <w:tcPr/>
          <w:p>
            <w:pPr>
              <w:pStyle w:val="Compact"/>
              <w:jc w:val="left"/>
            </w:pPr>
            <w:r>
              <w:t xml:space="preserve">16,856</w:t>
            </w:r>
          </w:p>
        </w:tc>
      </w:tr>
      <w:tr>
        <w:tc>
          <w:tcPr/>
          <w:p>
            <w:pPr>
              <w:pStyle w:val="Compact"/>
              <w:jc w:val="left"/>
            </w:pPr>
            <w:r>
              <w:t xml:space="preserve">GRAND TOTAL (inclusive of VAT)</w:t>
            </w:r>
          </w:p>
        </w:tc>
        <w:tc>
          <w:tcPr/>
          <w:p>
            <w:pPr>
              <w:pStyle w:val="Compact"/>
              <w:jc w:val="left"/>
            </w:pPr>
            <w:r>
              <w:t xml:space="preserve">EGP 137,256</w:t>
            </w:r>
          </w:p>
        </w:tc>
      </w:tr>
    </w:tbl>
    <w:bookmarkEnd w:id="24"/>
    <w:bookmarkStart w:id="25" w:name="payment-schedule"/>
    <w:p>
      <w:pPr>
        <w:pStyle w:val="Heading2"/>
      </w:pPr>
      <w:r>
        <w:t xml:space="preserve">5. Payment Schedule</w:t>
      </w:r>
    </w:p>
    <w:p>
      <w:pPr>
        <w:pStyle w:val="FirstParagraph"/>
      </w:pPr>
      <w:r>
        <w:t xml:space="preserve">The Client agrees to the following payment structure for the legal services outlined in this Quotation Estimate. All payments shall be made via bank transfer to the firm's designated account at the National Bank of Egypt, Alexandria Branch, or by certified cheque payable to Al-Nile &amp; Partners Legal Counsel.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Due Date</w:t>
            </w:r>
          </w:p>
        </w:tc>
      </w:tr>
      <w:tr>
        <w:tc>
          <w:tcPr/>
          <w:p>
            <w:pPr>
              <w:pStyle w:val="Compact"/>
              <w:jc w:val="left"/>
            </w:pPr>
            <w:r>
              <w:t xml:space="preserve">Upon execution of the engagement letter</w:t>
            </w:r>
          </w:p>
        </w:tc>
        <w:tc>
          <w:tcPr/>
          <w:p>
            <w:pPr>
              <w:pStyle w:val="Compact"/>
              <w:jc w:val="left"/>
            </w:pPr>
            <w:r>
              <w:t xml:space="preserve">30%</w:t>
            </w:r>
          </w:p>
        </w:tc>
        <w:tc>
          <w:tcPr/>
          <w:p>
            <w:pPr>
              <w:pStyle w:val="Compact"/>
              <w:jc w:val="left"/>
            </w:pPr>
            <w:r>
              <w:t xml:space="preserve">41,177</w:t>
            </w:r>
          </w:p>
        </w:tc>
        <w:tc>
          <w:tcPr/>
          <w:p>
            <w:pPr>
              <w:pStyle w:val="Compact"/>
              <w:jc w:val="left"/>
            </w:pPr>
            <w:r>
              <w:t xml:space="preserve">Within 5 business days of acceptance</w:t>
            </w:r>
          </w:p>
        </w:tc>
      </w:tr>
      <w:tr>
        <w:tc>
          <w:tcPr/>
          <w:p>
            <w:pPr>
              <w:pStyle w:val="Compact"/>
              <w:jc w:val="left"/>
            </w:pPr>
            <w:r>
              <w:t xml:space="preserve">Upon filing of the statement of claim</w:t>
            </w:r>
          </w:p>
        </w:tc>
        <w:tc>
          <w:tcPr/>
          <w:p>
            <w:pPr>
              <w:pStyle w:val="Compact"/>
              <w:jc w:val="left"/>
            </w:pPr>
            <w:r>
              <w:t xml:space="preserve">30%</w:t>
            </w:r>
          </w:p>
        </w:tc>
        <w:tc>
          <w:tcPr/>
          <w:p>
            <w:pPr>
              <w:pStyle w:val="Compact"/>
              <w:jc w:val="left"/>
            </w:pPr>
            <w:r>
              <w:t xml:space="preserve">41,177</w:t>
            </w:r>
          </w:p>
        </w:tc>
        <w:tc>
          <w:tcPr/>
          <w:p>
            <w:pPr>
              <w:pStyle w:val="Compact"/>
              <w:jc w:val="left"/>
            </w:pPr>
            <w:r>
              <w:t xml:space="preserve">Within 10 business days of filing</w:t>
            </w:r>
          </w:p>
        </w:tc>
      </w:tr>
      <w:tr>
        <w:tc>
          <w:tcPr/>
          <w:p>
            <w:pPr>
              <w:pStyle w:val="Compact"/>
              <w:jc w:val="left"/>
            </w:pPr>
            <w:r>
              <w:t xml:space="preserve">Upon conclusion of trial proceedings or settlement</w:t>
            </w:r>
          </w:p>
        </w:tc>
        <w:tc>
          <w:tcPr/>
          <w:p>
            <w:pPr>
              <w:pStyle w:val="Compact"/>
              <w:jc w:val="left"/>
            </w:pPr>
            <w:r>
              <w:t xml:space="preserve">30%</w:t>
            </w:r>
          </w:p>
        </w:tc>
        <w:tc>
          <w:tcPr/>
          <w:p>
            <w:pPr>
              <w:pStyle w:val="Compact"/>
              <w:jc w:val="left"/>
            </w:pPr>
            <w:r>
              <w:t xml:space="preserve">41,177</w:t>
            </w:r>
          </w:p>
        </w:tc>
        <w:tc>
          <w:tcPr/>
          <w:p>
            <w:pPr>
              <w:pStyle w:val="Compact"/>
              <w:jc w:val="left"/>
            </w:pPr>
            <w:r>
              <w:t xml:space="preserve">Within 15 business days of conclusion</w:t>
            </w:r>
          </w:p>
        </w:tc>
      </w:tr>
      <w:tr>
        <w:tc>
          <w:tcPr/>
          <w:p>
            <w:pPr>
              <w:pStyle w:val="Compact"/>
              <w:jc w:val="left"/>
            </w:pPr>
            <w:r>
              <w:t xml:space="preserve">Final settlement (post-enforcement or closure)</w:t>
            </w:r>
          </w:p>
        </w:tc>
        <w:tc>
          <w:tcPr/>
          <w:p>
            <w:pPr>
              <w:pStyle w:val="Compact"/>
              <w:jc w:val="left"/>
            </w:pPr>
            <w:r>
              <w:t xml:space="preserve">10%</w:t>
            </w:r>
          </w:p>
        </w:tc>
        <w:tc>
          <w:tcPr/>
          <w:p>
            <w:pPr>
              <w:pStyle w:val="Compact"/>
              <w:jc w:val="left"/>
            </w:pPr>
            <w:r>
              <w:t xml:space="preserve">13,725</w:t>
            </w:r>
          </w:p>
        </w:tc>
        <w:tc>
          <w:tcPr/>
          <w:p>
            <w:pPr>
              <w:pStyle w:val="Compact"/>
              <w:jc w:val="left"/>
            </w:pPr>
            <w:r>
              <w:t xml:space="preserve">Within 10 business days of final closure</w:t>
            </w:r>
          </w:p>
        </w:tc>
      </w:tr>
    </w:tbl>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a period of thirty (30) calendar days from the date of issue. Beyond this period, the Lawyer reserves the right to revise the fees based on current Alexandria legal market rates and applicable Egyptian regulatory changes.</w:t>
      </w:r>
    </w:p>
    <w:p>
      <w:pPr>
        <w:numPr>
          <w:ilvl w:val="0"/>
          <w:numId w:val="1001"/>
        </w:numPr>
        <w:pStyle w:val="Compact"/>
      </w:pPr>
      <w:r>
        <w:t xml:space="preserve">The undersigned Lawyer shall maintain professional confidentiality in accordance with the Egyptian Lawyers' Code of Ethics and the provisions of the Alexandria Bar Association's disciplinary regulations. All client information shall be treated as strictly privileged.</w:t>
      </w:r>
    </w:p>
    <w:p>
      <w:pPr>
        <w:numPr>
          <w:ilvl w:val="0"/>
          <w:numId w:val="1001"/>
        </w:numPr>
        <w:pStyle w:val="Compact"/>
      </w:pPr>
      <w:r>
        <w:t xml:space="preserve">The estimated hours provided in this Quotation Estimate are good-faith projections. Should the actual hours deviate by more than twenty percent (20%) from the estimates, the Lawyer shall notify the Client in writing and provide a revised Quotation Estimate for the remaining scope of work.</w:t>
      </w:r>
    </w:p>
    <w:p>
      <w:pPr>
        <w:numPr>
          <w:ilvl w:val="0"/>
          <w:numId w:val="1001"/>
        </w:numPr>
        <w:pStyle w:val="Compact"/>
      </w:pPr>
      <w:r>
        <w:t xml:space="preserve">All legal proceedings referenced herein shall be conducted before the competent courts and judicial bodies located in Alexandria, Egypt. Should the matter require referral to the Court of Appeal in Alexandria or the Court of Cassation in Cairo, additional fees shall be quoted separately.</w:t>
      </w:r>
    </w:p>
    <w:p>
      <w:pPr>
        <w:numPr>
          <w:ilvl w:val="0"/>
          <w:numId w:val="1001"/>
        </w:numPr>
        <w:pStyle w:val="Compact"/>
      </w:pPr>
      <w:r>
        <w:t xml:space="preserve">The Client acknowledges that the Lawyer's engagement is limited to the scope described in this document. Any additional legal matters, including but not limited to criminal proceedings, tax advisory, or real estate transactions in Alexandria, shall require a separate Quotation Estimate and engagement agreement.</w:t>
      </w:r>
    </w:p>
    <w:p>
      <w:pPr>
        <w:numPr>
          <w:ilvl w:val="0"/>
          <w:numId w:val="1001"/>
        </w:numPr>
        <w:pStyle w:val="Compact"/>
      </w:pPr>
      <w:r>
        <w:t xml:space="preserve">In the event of a dispute regarding the fees or services rendered, both parties agree to submit to mediation before the Alexandria Bar Association's dispute resolution committee before initiating any formal legal action.</w:t>
      </w:r>
    </w:p>
    <w:p>
      <w:pPr>
        <w:numPr>
          <w:ilvl w:val="0"/>
          <w:numId w:val="1001"/>
        </w:numPr>
        <w:pStyle w:val="Compact"/>
      </w:pPr>
      <w:r>
        <w:t xml:space="preserve">This Quotation Estimate does not guarantee any specific outcome in the legal proceedings. The Lawyer shall exercise the highest degree of professional diligence and competence in accordance with Egyptian legal standards.</w:t>
      </w:r>
    </w:p>
    <w:p>
      <w:pPr>
        <w:numPr>
          <w:ilvl w:val="0"/>
          <w:numId w:val="1001"/>
        </w:numPr>
        <w:pStyle w:val="Compact"/>
      </w:pPr>
      <w:r>
        <w:t xml:space="preserve">All documents prepared by the Lawyer shall be delivered in both Arabic and English, as required by the Client, with the Arabic version prevailing in any legal proceedings before Egyptian courts in Alexandria.</w:t>
      </w:r>
    </w:p>
    <w:p>
      <w:pPr>
        <w:numPr>
          <w:ilvl w:val="0"/>
          <w:numId w:val="1001"/>
        </w:numPr>
        <w:pStyle w:val="Compact"/>
      </w:pPr>
      <w:r>
        <w:t xml:space="preserve">The Client shall provide all necessary documents, information, and access to relevant parties in a timely manner. Delays caused by the Client's failure to cooperate shall not be attributed to the Lawyer and may result in additional billing.</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legal services in Alexandria, Egypt, and agrees to the terms, conditions, and fee structure outlined herein. The undersigned Lawyer confirms that the services described shall be performed with the utmost professional integrity in accordance with Egyptian law and the ethical standards of the Alexandria Bar Association.</w:t>
      </w:r>
    </w:p>
    <w:p>
      <w:pPr>
        <w:pStyle w:val="BodyText"/>
      </w:pPr>
      <w:r>
        <w:rPr>
          <w:bCs/>
          <w:b/>
        </w:rPr>
        <w:t xml:space="preserve">For the Client</w:t>
      </w:r>
      <w:r>
        <w:br/>
      </w:r>
      <w:r>
        <w:t xml:space="preserve">Name: Mr. Tarek Hassan Abdel-Rahman</w:t>
      </w:r>
      <w:r>
        <w:br/>
      </w:r>
      <w:r>
        <w:t xml:space="preserve">Signature: _________________________</w:t>
      </w:r>
      <w:r>
        <w:br/>
      </w:r>
      <w:r>
        <w:t xml:space="preserve">Date: _________________________</w:t>
      </w:r>
    </w:p>
    <w:p>
      <w:pPr>
        <w:pStyle w:val="BodyText"/>
      </w:pPr>
      <w:r>
        <w:rPr>
          <w:bCs/>
          <w:b/>
        </w:rPr>
        <w:t xml:space="preserve">For the Lawyer / Firm</w:t>
      </w:r>
      <w:r>
        <w:br/>
      </w:r>
      <w:r>
        <w:t xml:space="preserve">Name: Adv. Mahmoud El-Sayed, Esq.</w:t>
      </w:r>
      <w:r>
        <w:br/>
      </w:r>
      <w:r>
        <w:t xml:space="preserve">Signature: _________________________</w:t>
      </w:r>
      <w:r>
        <w:br/>
      </w:r>
      <w:r>
        <w:t xml:space="preserve">Date: _________________________</w:t>
      </w:r>
      <w:r>
        <w:br/>
      </w:r>
      <w:r>
        <w:t xml:space="preserve">Alexandria Bar Seal</w:t>
      </w:r>
    </w:p>
    <w:p>
      <w:pPr>
        <w:pStyle w:val="BodyText"/>
      </w:pPr>
      <w:r>
        <w:t xml:space="preserve">Al-Nile &amp; Partners Legal Counsel — 42 Corniche El-Nil Street, El-Montaza, Alexandria 21543, Egypt</w:t>
      </w:r>
      <w:r>
        <w:br/>
      </w:r>
      <w:r>
        <w:t xml:space="preserve">Registered with the Alexandria Bar Association | Egyptian Tax ID: 552-881-447-001</w:t>
      </w:r>
      <w:r>
        <w:br/>
      </w:r>
      <w:r>
        <w:t xml:space="preserve">This Quotation Estimate is a confidential document intended solely for the named Client. Unauthorized reproduction or distribution is prohibited under Egyptian intellectual property law.</w:t>
      </w:r>
      <w:r>
        <w:br/>
      </w:r>
      <w:r>
        <w:t xml:space="preserve">© 2025 Al-Nile &amp; Partners Legal Counsel.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Alexandria, Egypt</dc:title>
  <dc:creator/>
  <dc:language>en</dc:language>
  <cp:keywords/>
  <dcterms:created xsi:type="dcterms:W3CDTF">2026-10-10T10:21:24Z</dcterms:created>
  <dcterms:modified xsi:type="dcterms:W3CDTF">2026-10-10T10:21:24Z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