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Cairo,</w:t>
      </w:r>
      <w:r>
        <w:t xml:space="preserve"> </w:t>
      </w:r>
      <w:r>
        <w:t xml:space="preserve">Egypt</w:t>
      </w:r>
    </w:p>
    <w:bookmarkStart w:id="20" w:name="quotation-estimate"/>
    <w:p>
      <w:pPr>
        <w:pStyle w:val="Heading1"/>
      </w:pPr>
      <w:r>
        <w:t xml:space="preserve">QUOTATION ESTIMATE</w:t>
      </w:r>
    </w:p>
    <w:p>
      <w:pPr>
        <w:pStyle w:val="FirstParagraph"/>
      </w:pPr>
      <w:r>
        <w:t xml:space="preserve">Professional Legal Services — Attorney at Law</w:t>
      </w:r>
    </w:p>
    <w:p>
      <w:pPr>
        <w:pStyle w:val="BodyText"/>
      </w:pPr>
      <w:r>
        <w:t xml:space="preserve">Cairo, Egypt — Arab Republic of Egypt</w:t>
      </w:r>
    </w:p>
    <w:bookmarkEnd w:id="20"/>
    <w:bookmarkStart w:id="21" w:name="issued-by-lawyer-law-firm"/>
    <w:p>
      <w:pPr>
        <w:pStyle w:val="Heading3"/>
      </w:pPr>
      <w:r>
        <w:t xml:space="preserve">Issued By (Lawyer / Law Firm)</w:t>
      </w:r>
    </w:p>
    <w:p>
      <w:pPr>
        <w:pStyle w:val="FirstParagraph"/>
      </w:pPr>
      <w:r>
        <w:rPr>
          <w:bCs/>
          <w:b/>
        </w:rPr>
        <w:t xml:space="preserve">Al-Nile Legal Counsel &amp; Associates</w:t>
      </w:r>
      <w:r>
        <w:br/>
      </w:r>
      <w:r>
        <w:t xml:space="preserve">42 Tahrir Square, Downtown District</w:t>
      </w:r>
      <w:r>
        <w:br/>
      </w:r>
      <w:r>
        <w:t xml:space="preserve">Cairo, 11511, Egypt</w:t>
      </w:r>
      <w:r>
        <w:br/>
      </w:r>
      <w:r>
        <w:t xml:space="preserve">Tel: +20 2 2578 4410</w:t>
      </w:r>
      <w:r>
        <w:br/>
      </w:r>
      <w:r>
        <w:t xml:space="preserve">Email: info@alnilelegal.eg</w:t>
      </w:r>
      <w:r>
        <w:br/>
      </w:r>
      <w:r>
        <w:t xml:space="preserve">Bar Registration No.: EG-C-2019-04872</w:t>
      </w:r>
      <w:r>
        <w:br/>
      </w:r>
      <w:r>
        <w:t xml:space="preserve">Egyptian Bar Association, Cairo Branch</w:t>
      </w:r>
    </w:p>
    <w:bookmarkEnd w:id="21"/>
    <w:bookmarkStart w:id="22" w:name="prepared-for-client"/>
    <w:p>
      <w:pPr>
        <w:pStyle w:val="Heading3"/>
      </w:pPr>
      <w:r>
        <w:t xml:space="preserve">Prepared For (Client)</w:t>
      </w:r>
    </w:p>
    <w:p>
      <w:pPr>
        <w:pStyle w:val="FirstParagraph"/>
      </w:pPr>
      <w:r>
        <w:rPr>
          <w:bCs/>
          <w:b/>
        </w:rPr>
        <w:t xml:space="preserve">Mr. Ahmed Hassan El-Sayed</w:t>
      </w:r>
      <w:r>
        <w:br/>
      </w:r>
      <w:r>
        <w:t xml:space="preserve">18 El-Mohandessin Street, Dokki</w:t>
      </w:r>
      <w:r>
        <w:br/>
      </w:r>
      <w:r>
        <w:t xml:space="preserve">Giza / Greater Cairo, 12611, Egypt</w:t>
      </w:r>
      <w:r>
        <w:br/>
      </w:r>
      <w:r>
        <w:t xml:space="preserve">National ID: 28503141203456</w:t>
      </w:r>
      <w:r>
        <w:br/>
      </w:r>
      <w:r>
        <w:t xml:space="preserve">Tel: +20 100 555 7823</w:t>
      </w:r>
      <w:r>
        <w:br/>
      </w:r>
      <w:r>
        <w:t xml:space="preserve">Email: a.hassan@email.com</w:t>
      </w:r>
    </w:p>
    <w:bookmarkEnd w:id="22"/>
    <w:p>
      <w:pPr>
        <w:pStyle w:val="BodyText"/>
      </w:pPr>
      <w:r>
        <w:rPr>
          <w:bCs/>
          <w:b/>
        </w:rPr>
        <w:t xml:space="preserve">Quotation Estimate Reference No.:</w:t>
      </w:r>
      <w:r>
        <w:t xml:space="preserve"> </w:t>
      </w:r>
      <w:r>
        <w:t xml:space="preserve">QTE-CAI-2025-00347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calendar days)</w:t>
      </w:r>
    </w:p>
    <w:p>
      <w:pPr>
        <w:pStyle w:val="BodyText"/>
      </w:pPr>
      <w:r>
        <w:rPr>
          <w:bCs/>
          <w:b/>
        </w:rPr>
        <w:t xml:space="preserve">Currency:</w:t>
      </w:r>
      <w:r>
        <w:t xml:space="preserve"> </w:t>
      </w:r>
      <w:r>
        <w:t xml:space="preserve">Egyptian Pound (EGP) / US Dollar (USD)</w:t>
      </w:r>
    </w:p>
    <w:p>
      <w:pPr>
        <w:pStyle w:val="BodyText"/>
      </w:pPr>
      <w:r>
        <w:rPr>
          <w:bCs/>
          <w:b/>
        </w:rPr>
        <w:t xml:space="preserve">Jurisdiction:</w:t>
      </w:r>
      <w:r>
        <w:t xml:space="preserve"> </w:t>
      </w:r>
      <w:r>
        <w:t xml:space="preserve">Courts of Cairo, Arab Republic of Egypt</w:t>
      </w:r>
    </w:p>
    <w:bookmarkStart w:id="23" w:name="scope-of-legal-services"/>
    <w:p>
      <w:pPr>
        <w:pStyle w:val="Heading2"/>
      </w:pPr>
      <w:r>
        <w:t xml:space="preserve">1. Scope of Legal Services</w:t>
      </w:r>
    </w:p>
    <w:p>
      <w:pPr>
        <w:pStyle w:val="FirstParagraph"/>
      </w:pPr>
      <w:r>
        <w:t xml:space="preserve">This</w:t>
      </w:r>
      <w:r>
        <w:t xml:space="preserve"> </w:t>
      </w:r>
      <w:r>
        <w:t xml:space="preserve">Quotation Estimate</w:t>
      </w:r>
      <w:r>
        <w:t xml:space="preserve"> </w:t>
      </w:r>
      <w:r>
        <w:t xml:space="preserve">is issued by the undersigned</w:t>
      </w:r>
      <w:r>
        <w:t xml:space="preserve"> </w:t>
      </w:r>
      <w:r>
        <w:t xml:space="preserve">Lawyer</w:t>
      </w:r>
      <w:r>
        <w:t xml:space="preserve">, a licensed attorney practicing before the courts of</w:t>
      </w:r>
      <w:r>
        <w:t xml:space="preserve"> </w:t>
      </w:r>
      <w:r>
        <w:t xml:space="preserve">Egypt Cairo</w:t>
      </w:r>
      <w:r>
        <w:t xml:space="preserve"> </w:t>
      </w:r>
      <w:r>
        <w:t xml:space="preserve">and the surrounding Greater Cairo judicial district, in accordance with the Egyptian Advocacy Law No. 17 of 1968 (as amended) and the applicable rules of the Egyptian Bar Association. The following legal services are proposed for the benefit of the Client in connection with a commercial contract dispute and related civil litigation matters:</w:t>
      </w:r>
    </w:p>
    <w:p>
      <w:pPr>
        <w:numPr>
          <w:ilvl w:val="0"/>
          <w:numId w:val="1001"/>
        </w:numPr>
        <w:pStyle w:val="Compact"/>
      </w:pPr>
      <w:r>
        <w:rPr>
          <w:bCs/>
          <w:b/>
        </w:rPr>
        <w:t xml:space="preserve">Legal Consultation &amp; Case Assessment:</w:t>
      </w:r>
      <w:r>
        <w:t xml:space="preserve"> </w:t>
      </w:r>
      <w:r>
        <w:t xml:space="preserve">Comprehensive review of all contractual documents, correspondence, and evidence related to the dispute with the counterparty. Includes a written legal opinion on the merits of the case under Egyptian Civil Code (Law No. 131 of 1948) and the Egyptian Commercial Code (Law No. 17 of 1999).</w:t>
      </w:r>
    </w:p>
    <w:p>
      <w:pPr>
        <w:numPr>
          <w:ilvl w:val="0"/>
          <w:numId w:val="1001"/>
        </w:numPr>
        <w:pStyle w:val="Compact"/>
      </w:pPr>
      <w:r>
        <w:rPr>
          <w:bCs/>
          <w:b/>
        </w:rPr>
        <w:t xml:space="preserve">Drafting and Filing of Legal Pleadings:</w:t>
      </w:r>
      <w:r>
        <w:t xml:space="preserve"> </w:t>
      </w:r>
      <w:r>
        <w:t xml:space="preserve">Preparation and submission of the statement of claim, written defenses, and all subsequent memoranda before the Cairo Commercial Court (First Instance) located in the judicial complex on El-Gomhoreya Street, Cairo.</w:t>
      </w:r>
    </w:p>
    <w:p>
      <w:pPr>
        <w:numPr>
          <w:ilvl w:val="0"/>
          <w:numId w:val="1001"/>
        </w:numPr>
        <w:pStyle w:val="Compact"/>
      </w:pPr>
      <w:r>
        <w:rPr>
          <w:bCs/>
          <w:b/>
        </w:rPr>
        <w:t xml:space="preserve">Court Representation:</w:t>
      </w:r>
      <w:r>
        <w:t xml:space="preserve"> </w:t>
      </w:r>
      <w:r>
        <w:t xml:space="preserve">Full representation of the Client at all hearings, sessions, and proceedings before the Cairo Commercial Court, the Cairo Court of Appeal, and, if necessary, the Court of Cassation in Cairo, Egypt.</w:t>
      </w:r>
    </w:p>
    <w:p>
      <w:pPr>
        <w:numPr>
          <w:ilvl w:val="0"/>
          <w:numId w:val="1001"/>
        </w:numPr>
        <w:pStyle w:val="Compact"/>
      </w:pPr>
      <w:r>
        <w:rPr>
          <w:bCs/>
          <w:b/>
        </w:rPr>
        <w:t xml:space="preserve">Negotiation &amp; Settlement:</w:t>
      </w:r>
      <w:r>
        <w:t xml:space="preserve"> </w:t>
      </w:r>
      <w:r>
        <w:t xml:space="preserve">Conducting settlement negotiations with opposing counsel, including attendance at mediation sessions before the Egyptian Center for Mediation and Arbitration (ECMA) in Cairo.</w:t>
      </w:r>
    </w:p>
    <w:p>
      <w:pPr>
        <w:numPr>
          <w:ilvl w:val="0"/>
          <w:numId w:val="1001"/>
        </w:numPr>
        <w:pStyle w:val="Compact"/>
      </w:pPr>
      <w:r>
        <w:rPr>
          <w:bCs/>
          <w:b/>
        </w:rPr>
        <w:t xml:space="preserve">Enforcement Proceedings:</w:t>
      </w:r>
      <w:r>
        <w:t xml:space="preserve"> </w:t>
      </w:r>
      <w:r>
        <w:t xml:space="preserve">Filing and managing any enforcement petition before the Enforcement Court in Cairo should a favorable judgment be rendered.</w:t>
      </w:r>
    </w:p>
    <w:p>
      <w:pPr>
        <w:numPr>
          <w:ilvl w:val="0"/>
          <w:numId w:val="1001"/>
        </w:numPr>
        <w:pStyle w:val="Compact"/>
      </w:pPr>
      <w:r>
        <w:rPr>
          <w:bCs/>
          <w:b/>
        </w:rPr>
        <w:t xml:space="preserve">Document Authentication &amp; Notarization:</w:t>
      </w:r>
      <w:r>
        <w:t xml:space="preserve"> </w:t>
      </w:r>
      <w:r>
        <w:t xml:space="preserve">Arranging notarization of powers of attorney, legal translations (Arabic-English), and authentication of documents before the Cairo Notary Public offices.</w:t>
      </w:r>
    </w:p>
    <w:bookmarkEnd w:id="23"/>
    <w:bookmarkStart w:id="24" w:name="fee-structure-cost-breakdown"/>
    <w:p>
      <w:pPr>
        <w:pStyle w:val="Heading2"/>
      </w:pPr>
      <w:r>
        <w:t xml:space="preserve">2. Fee Structure &amp; Cost Breakdown</w:t>
      </w:r>
    </w:p>
    <w:p>
      <w:pPr>
        <w:pStyle w:val="FirstParagraph"/>
      </w:pPr>
      <w:r>
        <w:t xml:space="preserve">The following</w:t>
      </w:r>
      <w:r>
        <w:t xml:space="preserve"> </w:t>
      </w:r>
      <w:r>
        <w:t xml:space="preserve">Quotation Estimate</w:t>
      </w:r>
      <w:r>
        <w:t xml:space="preserve"> </w:t>
      </w:r>
      <w:r>
        <w:t xml:space="preserve">outlines the professional fees and associated costs for the</w:t>
      </w:r>
      <w:r>
        <w:t xml:space="preserve"> </w:t>
      </w:r>
      <w:r>
        <w:t xml:space="preserve">Lawyer</w:t>
      </w:r>
      <w:r>
        <w:t xml:space="preserve">'s services in</w:t>
      </w:r>
      <w:r>
        <w:t xml:space="preserve"> </w:t>
      </w:r>
      <w:r>
        <w:t xml:space="preserve">Egypt Cairo</w:t>
      </w:r>
      <w:r>
        <w:t xml:space="preserve">. All fees are exclusive of applicable Value Added Tax (VAT) at the current rate of 14% as per Egyptian Tax Law No. 67 of 2016.</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Item</w:t>
            </w:r>
          </w:p>
        </w:tc>
        <w:tc>
          <w:tcPr/>
          <w:p>
            <w:pPr>
              <w:pStyle w:val="Compact"/>
              <w:jc w:val="left"/>
            </w:pPr>
            <w:r>
              <w:t xml:space="preserve">Description</w:t>
            </w:r>
          </w:p>
        </w:tc>
        <w:tc>
          <w:tcPr/>
          <w:p>
            <w:pPr>
              <w:pStyle w:val="Compact"/>
              <w:jc w:val="left"/>
            </w:pPr>
            <w:r>
              <w:t xml:space="preserve">Estimated Fee (EGP)</w:t>
            </w:r>
          </w:p>
        </w:tc>
        <w:tc>
          <w:tcPr/>
          <w:p>
            <w:pPr>
              <w:pStyle w:val="Compact"/>
              <w:jc w:val="left"/>
            </w:pPr>
            <w:r>
              <w:t xml:space="preserve">Estimated Fee (USD)</w:t>
            </w:r>
          </w:p>
        </w:tc>
      </w:tr>
      <w:tr>
        <w:tc>
          <w:tcPr/>
          <w:p>
            <w:pPr>
              <w:pStyle w:val="Compact"/>
              <w:jc w:val="left"/>
            </w:pPr>
            <w:r>
              <w:t xml:space="preserve">1</w:t>
            </w:r>
          </w:p>
        </w:tc>
        <w:tc>
          <w:tcPr/>
          <w:p>
            <w:pPr>
              <w:pStyle w:val="Compact"/>
              <w:jc w:val="left"/>
            </w:pPr>
            <w:r>
              <w:t xml:space="preserve">Initial Legal Consultation &amp; Case Assessment</w:t>
            </w:r>
          </w:p>
        </w:tc>
        <w:tc>
          <w:tcPr/>
          <w:p>
            <w:pPr>
              <w:pStyle w:val="Compact"/>
              <w:jc w:val="left"/>
            </w:pPr>
            <w:r>
              <w:t xml:space="preserve">One-time fee, includes written opinion (up to 25 pages)</w:t>
            </w:r>
          </w:p>
        </w:tc>
        <w:tc>
          <w:tcPr/>
          <w:p>
            <w:pPr>
              <w:pStyle w:val="Compact"/>
              <w:jc w:val="left"/>
            </w:pPr>
            <w:r>
              <w:t xml:space="preserve">15,000</w:t>
            </w:r>
          </w:p>
        </w:tc>
        <w:tc>
          <w:tcPr/>
          <w:p>
            <w:pPr>
              <w:pStyle w:val="Compact"/>
              <w:jc w:val="left"/>
            </w:pPr>
            <w:r>
              <w:t xml:space="preserve">$300</w:t>
            </w:r>
          </w:p>
        </w:tc>
      </w:tr>
      <w:tr>
        <w:tc>
          <w:tcPr/>
          <w:p>
            <w:pPr>
              <w:pStyle w:val="Compact"/>
              <w:jc w:val="left"/>
            </w:pPr>
            <w:r>
              <w:t xml:space="preserve">2</w:t>
            </w:r>
          </w:p>
        </w:tc>
        <w:tc>
          <w:tcPr/>
          <w:p>
            <w:pPr>
              <w:pStyle w:val="Compact"/>
              <w:jc w:val="left"/>
            </w:pPr>
            <w:r>
              <w:t xml:space="preserve">Drafting &amp; Filing of Statement of Claim</w:t>
            </w:r>
          </w:p>
        </w:tc>
        <w:tc>
          <w:tcPr/>
          <w:p>
            <w:pPr>
              <w:pStyle w:val="Compact"/>
              <w:jc w:val="left"/>
            </w:pPr>
            <w:r>
              <w:t xml:space="preserve">Includes court filing fees and stamp duties</w:t>
            </w:r>
          </w:p>
        </w:tc>
        <w:tc>
          <w:tcPr/>
          <w:p>
            <w:pPr>
              <w:pStyle w:val="Compact"/>
              <w:jc w:val="left"/>
            </w:pPr>
            <w:r>
              <w:t xml:space="preserve">25,000</w:t>
            </w:r>
          </w:p>
        </w:tc>
        <w:tc>
          <w:tcPr/>
          <w:p>
            <w:pPr>
              <w:pStyle w:val="Compact"/>
              <w:jc w:val="left"/>
            </w:pPr>
            <w:r>
              <w:t xml:space="preserve">$500</w:t>
            </w:r>
          </w:p>
        </w:tc>
      </w:tr>
      <w:tr>
        <w:tc>
          <w:tcPr/>
          <w:p>
            <w:pPr>
              <w:pStyle w:val="Compact"/>
              <w:jc w:val="left"/>
            </w:pPr>
            <w:r>
              <w:t xml:space="preserve">3</w:t>
            </w:r>
          </w:p>
        </w:tc>
        <w:tc>
          <w:tcPr/>
          <w:p>
            <w:pPr>
              <w:pStyle w:val="Compact"/>
              <w:jc w:val="left"/>
            </w:pPr>
            <w:r>
              <w:t xml:space="preserve">Court Representation (First Instance)</w:t>
            </w:r>
          </w:p>
        </w:tc>
        <w:tc>
          <w:tcPr/>
          <w:p>
            <w:pPr>
              <w:pStyle w:val="Compact"/>
              <w:jc w:val="left"/>
            </w:pPr>
            <w:r>
              <w:t xml:space="preserve">Up to 8 hearings before Cairo Commercial Court</w:t>
            </w:r>
          </w:p>
        </w:tc>
        <w:tc>
          <w:tcPr/>
          <w:p>
            <w:pPr>
              <w:pStyle w:val="Compact"/>
              <w:jc w:val="left"/>
            </w:pPr>
            <w:r>
              <w:t xml:space="preserve">80,000</w:t>
            </w:r>
          </w:p>
        </w:tc>
        <w:tc>
          <w:tcPr/>
          <w:p>
            <w:pPr>
              <w:pStyle w:val="Compact"/>
              <w:jc w:val="left"/>
            </w:pPr>
            <w:r>
              <w:t xml:space="preserve">$1,600</w:t>
            </w:r>
          </w:p>
        </w:tc>
      </w:tr>
      <w:tr>
        <w:tc>
          <w:tcPr/>
          <w:p>
            <w:pPr>
              <w:pStyle w:val="Compact"/>
              <w:jc w:val="left"/>
            </w:pPr>
            <w:r>
              <w:t xml:space="preserve">4</w:t>
            </w:r>
          </w:p>
        </w:tc>
        <w:tc>
          <w:tcPr/>
          <w:p>
            <w:pPr>
              <w:pStyle w:val="Compact"/>
              <w:jc w:val="left"/>
            </w:pPr>
            <w:r>
              <w:t xml:space="preserve">Court Representation (Appeal)</w:t>
            </w:r>
          </w:p>
        </w:tc>
        <w:tc>
          <w:tcPr/>
          <w:p>
            <w:pPr>
              <w:pStyle w:val="Compact"/>
              <w:jc w:val="left"/>
            </w:pPr>
            <w:r>
              <w:t xml:space="preserve">Up to 5 hearings before Cairo Court of Appeal</w:t>
            </w:r>
          </w:p>
        </w:tc>
        <w:tc>
          <w:tcPr/>
          <w:p>
            <w:pPr>
              <w:pStyle w:val="Compact"/>
              <w:jc w:val="left"/>
            </w:pPr>
            <w:r>
              <w:t xml:space="preserve">60,000</w:t>
            </w:r>
          </w:p>
        </w:tc>
        <w:tc>
          <w:tcPr/>
          <w:p>
            <w:pPr>
              <w:pStyle w:val="Compact"/>
              <w:jc w:val="left"/>
            </w:pPr>
            <w:r>
              <w:t xml:space="preserve">$1,200</w:t>
            </w:r>
          </w:p>
        </w:tc>
      </w:tr>
      <w:tr>
        <w:tc>
          <w:tcPr/>
          <w:p>
            <w:pPr>
              <w:pStyle w:val="Compact"/>
              <w:jc w:val="left"/>
            </w:pPr>
            <w:r>
              <w:t xml:space="preserve">5</w:t>
            </w:r>
          </w:p>
        </w:tc>
        <w:tc>
          <w:tcPr/>
          <w:p>
            <w:pPr>
              <w:pStyle w:val="Compact"/>
              <w:jc w:val="left"/>
            </w:pPr>
            <w:r>
              <w:t xml:space="preserve">Negotiation &amp; Mediation Services</w:t>
            </w:r>
          </w:p>
        </w:tc>
        <w:tc>
          <w:tcPr/>
          <w:p>
            <w:pPr>
              <w:pStyle w:val="Compact"/>
              <w:jc w:val="left"/>
            </w:pPr>
            <w:r>
              <w:t xml:space="preserve">Up to 4 sessions, including ECMA filing</w:t>
            </w:r>
          </w:p>
        </w:tc>
        <w:tc>
          <w:tcPr/>
          <w:p>
            <w:pPr>
              <w:pStyle w:val="Compact"/>
              <w:jc w:val="left"/>
            </w:pPr>
            <w:r>
              <w:t xml:space="preserve">30,000</w:t>
            </w:r>
          </w:p>
        </w:tc>
        <w:tc>
          <w:tcPr/>
          <w:p>
            <w:pPr>
              <w:pStyle w:val="Compact"/>
              <w:jc w:val="left"/>
            </w:pPr>
            <w:r>
              <w:t xml:space="preserve">$600</w:t>
            </w:r>
          </w:p>
        </w:tc>
      </w:tr>
      <w:tr>
        <w:tc>
          <w:tcPr/>
          <w:p>
            <w:pPr>
              <w:pStyle w:val="Compact"/>
              <w:jc w:val="left"/>
            </w:pPr>
            <w:r>
              <w:t xml:space="preserve">6</w:t>
            </w:r>
          </w:p>
        </w:tc>
        <w:tc>
          <w:tcPr/>
          <w:p>
            <w:pPr>
              <w:pStyle w:val="Compact"/>
              <w:jc w:val="left"/>
            </w:pPr>
            <w:r>
              <w:t xml:space="preserve">Enforcement Proceedings</w:t>
            </w:r>
          </w:p>
        </w:tc>
        <w:tc>
          <w:tcPr/>
          <w:p>
            <w:pPr>
              <w:pStyle w:val="Compact"/>
              <w:jc w:val="left"/>
            </w:pPr>
            <w:r>
              <w:t xml:space="preserve">Filing and management before Cairo Enforcement Court</w:t>
            </w:r>
          </w:p>
        </w:tc>
        <w:tc>
          <w:tcPr/>
          <w:p>
            <w:pPr>
              <w:pStyle w:val="Compact"/>
              <w:jc w:val="left"/>
            </w:pPr>
            <w:r>
              <w:t xml:space="preserve">20,000</w:t>
            </w:r>
          </w:p>
        </w:tc>
        <w:tc>
          <w:tcPr/>
          <w:p>
            <w:pPr>
              <w:pStyle w:val="Compact"/>
              <w:jc w:val="left"/>
            </w:pPr>
            <w:r>
              <w:t xml:space="preserve">$400</w:t>
            </w:r>
          </w:p>
        </w:tc>
      </w:tr>
      <w:tr>
        <w:tc>
          <w:tcPr/>
          <w:p>
            <w:pPr>
              <w:pStyle w:val="Compact"/>
              <w:jc w:val="left"/>
            </w:pPr>
            <w:r>
              <w:t xml:space="preserve">7</w:t>
            </w:r>
          </w:p>
        </w:tc>
        <w:tc>
          <w:tcPr/>
          <w:p>
            <w:pPr>
              <w:pStyle w:val="Compact"/>
              <w:jc w:val="left"/>
            </w:pPr>
            <w:r>
              <w:t xml:space="preserve">Document Authentication &amp; Translation</w:t>
            </w:r>
          </w:p>
        </w:tc>
        <w:tc>
          <w:tcPr/>
          <w:p>
            <w:pPr>
              <w:pStyle w:val="Compact"/>
              <w:jc w:val="left"/>
            </w:pPr>
            <w:r>
              <w:t xml:space="preserve">Notarization, legal translation, and apostille</w:t>
            </w:r>
          </w:p>
        </w:tc>
        <w:tc>
          <w:tcPr/>
          <w:p>
            <w:pPr>
              <w:pStyle w:val="Compact"/>
              <w:jc w:val="left"/>
            </w:pPr>
            <w:r>
              <w:t xml:space="preserve">10,000</w:t>
            </w:r>
          </w:p>
        </w:tc>
        <w:tc>
          <w:tcPr/>
          <w:p>
            <w:pPr>
              <w:pStyle w:val="Compact"/>
              <w:jc w:val="left"/>
            </w:pPr>
            <w:r>
              <w:t xml:space="preserve">$200</w:t>
            </w:r>
          </w:p>
        </w:tc>
      </w:tr>
      <w:tr>
        <w:tc>
          <w:tcPr/>
          <w:p>
            <w:pPr>
              <w:pStyle w:val="Compact"/>
              <w:jc w:val="left"/>
            </w:pPr>
            <w:r>
              <w:t xml:space="preserve">8</w:t>
            </w:r>
          </w:p>
        </w:tc>
        <w:tc>
          <w:tcPr/>
          <w:p>
            <w:pPr>
              <w:pStyle w:val="Compact"/>
              <w:jc w:val="left"/>
            </w:pPr>
            <w:r>
              <w:t xml:space="preserve">Court Fees, Stamp Duties &amp; Administrative Costs</w:t>
            </w:r>
          </w:p>
        </w:tc>
        <w:tc>
          <w:tcPr/>
          <w:p>
            <w:pPr>
              <w:pStyle w:val="Compact"/>
              <w:jc w:val="left"/>
            </w:pPr>
            <w:r>
              <w:t xml:space="preserve">As assessed by Cairo judicial authorities</w:t>
            </w:r>
          </w:p>
        </w:tc>
        <w:tc>
          <w:tcPr/>
          <w:p>
            <w:pPr>
              <w:pStyle w:val="Compact"/>
              <w:jc w:val="left"/>
            </w:pPr>
            <w:r>
              <w:t xml:space="preserve">15,000</w:t>
            </w:r>
          </w:p>
        </w:tc>
        <w:tc>
          <w:tcPr/>
          <w:p>
            <w:pPr>
              <w:pStyle w:val="Compact"/>
              <w:jc w:val="left"/>
            </w:pPr>
            <w:r>
              <w:t xml:space="preserve">$300</w:t>
            </w:r>
          </w:p>
        </w:tc>
      </w:tr>
      <w:tr>
        <w:tc>
          <w:tcPr/>
          <w:p>
            <w:pPr>
              <w:pStyle w:val="Compact"/>
              <w:jc w:val="left"/>
            </w:pPr>
            <w:r>
              <w:t xml:space="preserve">9</w:t>
            </w:r>
          </w:p>
        </w:tc>
        <w:tc>
          <w:tcPr/>
          <w:p>
            <w:pPr>
              <w:pStyle w:val="Compact"/>
              <w:jc w:val="left"/>
            </w:pPr>
            <w:r>
              <w:t xml:space="preserve">Travel &amp; Local Transportation (Cairo Metro Area)</w:t>
            </w:r>
          </w:p>
        </w:tc>
        <w:tc>
          <w:tcPr/>
          <w:p>
            <w:pPr>
              <w:pStyle w:val="Compact"/>
              <w:jc w:val="left"/>
            </w:pPr>
            <w:r>
              <w:t xml:space="preserve">Between office, courts, and client premises</w:t>
            </w:r>
          </w:p>
        </w:tc>
        <w:tc>
          <w:tcPr/>
          <w:p>
            <w:pPr>
              <w:pStyle w:val="Compact"/>
              <w:jc w:val="left"/>
            </w:pPr>
            <w:r>
              <w:t xml:space="preserve">5,000</w:t>
            </w:r>
          </w:p>
        </w:tc>
        <w:tc>
          <w:tcPr/>
          <w:p>
            <w:pPr>
              <w:pStyle w:val="Compact"/>
              <w:jc w:val="left"/>
            </w:pPr>
            <w:r>
              <w:t xml:space="preserve">$100</w:t>
            </w:r>
          </w:p>
        </w:tc>
      </w:tr>
      <w:tr>
        <w:tc>
          <w:tcPr>
            <w:gridSpan w:val="3"/>
          </w:tcPr>
          <w:p>
            <w:pPr>
              <w:pStyle w:val="Compact"/>
              <w:jc w:val="left"/>
            </w:pPr>
            <w:r>
              <w:t xml:space="preserve">SUBTOTAL (Professional Fees &amp; Costs)</w:t>
            </w:r>
          </w:p>
        </w:tc>
        <w:tc>
          <w:tcPr/>
          <w:p>
            <w:pPr>
              <w:pStyle w:val="Compact"/>
              <w:jc w:val="left"/>
            </w:pPr>
            <w:r>
              <w:t xml:space="preserve">260,000 EGP</w:t>
            </w:r>
          </w:p>
        </w:tc>
        <w:tc>
          <w:tcPr/>
          <w:p>
            <w:pPr>
              <w:pStyle w:val="Compact"/>
              <w:jc w:val="left"/>
            </w:pPr>
            <w:r>
              <w:t xml:space="preserve">$5,200 USD</w:t>
            </w:r>
          </w:p>
        </w:tc>
      </w:tr>
      <w:tr>
        <w:tc>
          <w:tcPr>
            <w:gridSpan w:val="3"/>
          </w:tcPr>
          <w:p>
            <w:pPr>
              <w:pStyle w:val="Compact"/>
              <w:jc w:val="left"/>
            </w:pPr>
            <w:r>
              <w:t xml:space="preserve">VAT (14%)</w:t>
            </w:r>
          </w:p>
        </w:tc>
        <w:tc>
          <w:tcPr/>
          <w:p>
            <w:pPr>
              <w:pStyle w:val="Compact"/>
              <w:jc w:val="left"/>
            </w:pPr>
            <w:r>
              <w:t xml:space="preserve">36,400 EGP</w:t>
            </w:r>
          </w:p>
        </w:tc>
        <w:tc>
          <w:tcPr/>
          <w:p>
            <w:pPr>
              <w:pStyle w:val="Compact"/>
              <w:jc w:val="left"/>
            </w:pPr>
            <w:r>
              <w:t xml:space="preserve">$728 USD</w:t>
            </w:r>
          </w:p>
        </w:tc>
      </w:tr>
      <w:tr>
        <w:tc>
          <w:tcPr>
            <w:gridSpan w:val="3"/>
          </w:tcPr>
          <w:p>
            <w:pPr>
              <w:pStyle w:val="Compact"/>
              <w:jc w:val="left"/>
            </w:pPr>
            <w:r>
              <w:t xml:space="preserve">GRAND TOTAL</w:t>
            </w:r>
          </w:p>
        </w:tc>
        <w:tc>
          <w:tcPr/>
          <w:p>
            <w:pPr>
              <w:pStyle w:val="Compact"/>
              <w:jc w:val="left"/>
            </w:pPr>
            <w:r>
              <w:t xml:space="preserve">296,400 EGP</w:t>
            </w:r>
          </w:p>
        </w:tc>
        <w:tc>
          <w:tcPr/>
          <w:p>
            <w:pPr>
              <w:pStyle w:val="Compact"/>
              <w:jc w:val="left"/>
            </w:pPr>
            <w:r>
              <w:t xml:space="preserve">$5,928 USD</w:t>
            </w:r>
          </w:p>
        </w:tc>
      </w:tr>
    </w:tbl>
    <w:p>
      <w:pPr>
        <w:pStyle w:val="BodyText"/>
      </w:pPr>
      <w:r>
        <w:rPr>
          <w:bCs/>
          <w:b/>
        </w:rPr>
        <w:t xml:space="preserve">Note:</w:t>
      </w:r>
      <w:r>
        <w:t xml:space="preserve"> </w:t>
      </w:r>
      <w:r>
        <w:t xml:space="preserve">The above</w:t>
      </w:r>
      <w:r>
        <w:t xml:space="preserve"> </w:t>
      </w:r>
      <w:r>
        <w:t xml:space="preserve">Quotation Estimate</w:t>
      </w:r>
      <w:r>
        <w:t xml:space="preserve"> </w:t>
      </w:r>
      <w:r>
        <w:t xml:space="preserve">is a good-faith estimate based on the information currently available. Should the scope of legal work expand beyond the parameters described herein, the</w:t>
      </w:r>
      <w:r>
        <w:t xml:space="preserve"> </w:t>
      </w:r>
      <w:r>
        <w:t xml:space="preserve">Lawyer</w:t>
      </w:r>
      <w:r>
        <w:t xml:space="preserve"> </w:t>
      </w:r>
      <w:r>
        <w:t xml:space="preserve">shall issue a supplementary quotation for the additional services. All court fees and stamp duties are subject to the rates in force at the time of filing before the courts in</w:t>
      </w:r>
      <w:r>
        <w:t xml:space="preserve"> </w:t>
      </w:r>
      <w:r>
        <w:t xml:space="preserve">Egypt Cairo</w:t>
      </w:r>
      <w:r>
        <w:t xml:space="preserve">.</w:t>
      </w:r>
    </w:p>
    <w:bookmarkEnd w:id="24"/>
    <w:bookmarkStart w:id="25" w:name="payment-terms"/>
    <w:p>
      <w:pPr>
        <w:pStyle w:val="Heading2"/>
      </w:pPr>
      <w:r>
        <w:t xml:space="preserve">3. Payment Terms</w:t>
      </w:r>
    </w:p>
    <w:p>
      <w:pPr>
        <w:pStyle w:val="FirstParagraph"/>
      </w:pPr>
      <w:r>
        <w:t xml:space="preserve">Payment of the fees set forth in this</w:t>
      </w:r>
      <w:r>
        <w:t xml:space="preserve"> </w:t>
      </w:r>
      <w:r>
        <w:t xml:space="preserve">Quotation Estimate</w:t>
      </w:r>
      <w:r>
        <w:t xml:space="preserve"> </w:t>
      </w:r>
      <w:r>
        <w:t xml:space="preserve">shall be made as follows:</w:t>
      </w:r>
    </w:p>
    <w:p>
      <w:pPr>
        <w:numPr>
          <w:ilvl w:val="0"/>
          <w:numId w:val="1002"/>
        </w:numPr>
        <w:pStyle w:val="Compact"/>
      </w:pPr>
      <w:r>
        <w:rPr>
          <w:bCs/>
          <w:b/>
        </w:rPr>
        <w:t xml:space="preserve">Advance Payment (40%):</w:t>
      </w:r>
      <w:r>
        <w:t xml:space="preserve"> </w:t>
      </w:r>
      <w:r>
        <w:t xml:space="preserve">EGP 118,560 (including VAT) due upon execution of the retainer agreement, prior to the commencement of any legal work.</w:t>
      </w:r>
    </w:p>
    <w:p>
      <w:pPr>
        <w:numPr>
          <w:ilvl w:val="0"/>
          <w:numId w:val="1002"/>
        </w:numPr>
        <w:pStyle w:val="Compact"/>
      </w:pPr>
      <w:r>
        <w:rPr>
          <w:bCs/>
          <w:b/>
        </w:rPr>
        <w:t xml:space="preserve">Interim Payment (30%):</w:t>
      </w:r>
      <w:r>
        <w:t xml:space="preserve"> </w:t>
      </w:r>
      <w:r>
        <w:t xml:space="preserve">EGP 88,920 (including VAT) due upon filing of the statement of claim before the Cairo Commercial Court.</w:t>
      </w:r>
    </w:p>
    <w:p>
      <w:pPr>
        <w:numPr>
          <w:ilvl w:val="0"/>
          <w:numId w:val="1002"/>
        </w:numPr>
        <w:pStyle w:val="Compact"/>
      </w:pPr>
      <w:r>
        <w:rPr>
          <w:bCs/>
          <w:b/>
        </w:rPr>
        <w:t xml:space="preserve">Final Payment (30%):</w:t>
      </w:r>
      <w:r>
        <w:t xml:space="preserve"> </w:t>
      </w:r>
      <w:r>
        <w:t xml:space="preserve">EGP 88,920 (including VAT) due upon conclusion of the matter or upon the issuance of a final, enforceable judgment.</w:t>
      </w:r>
    </w:p>
    <w:p>
      <w:pPr>
        <w:pStyle w:val="FirstParagraph"/>
      </w:pPr>
      <w:r>
        <w:t xml:space="preserve">All payments shall be made via bank transfer to the firm's designated account at National Bank of Egypt, Cairo Main Branch, or by certified check payable to Al-Nile Legal Counsel &amp; Associates. The</w:t>
      </w:r>
      <w:r>
        <w:t xml:space="preserve"> </w:t>
      </w:r>
      <w:r>
        <w:t xml:space="preserve">Lawyer</w:t>
      </w:r>
      <w:r>
        <w:t xml:space="preserve"> </w:t>
      </w:r>
      <w:r>
        <w:t xml:space="preserve">shall issue an official tax invoice (Fatura) for each payment received in compliance with Egyptian tax regulations.</w:t>
      </w:r>
    </w:p>
    <w:bookmarkEnd w:id="25"/>
    <w:bookmarkStart w:id="26" w:name="terms-conditions"/>
    <w:p>
      <w:pPr>
        <w:pStyle w:val="Heading2"/>
      </w:pPr>
      <w:r>
        <w:t xml:space="preserve">4. Terms &amp; Conditions</w:t>
      </w:r>
    </w:p>
    <w:p>
      <w:pPr>
        <w:numPr>
          <w:ilvl w:val="0"/>
          <w:numId w:val="1003"/>
        </w:numPr>
        <w:pStyle w:val="Compact"/>
      </w:pPr>
      <w:r>
        <w:t xml:space="preserve">This</w:t>
      </w:r>
      <w:r>
        <w:t xml:space="preserve"> </w:t>
      </w:r>
      <w:r>
        <w:t xml:space="preserve">Quotation Estimate</w:t>
      </w:r>
      <w:r>
        <w:t xml:space="preserve"> </w:t>
      </w:r>
      <w:r>
        <w:t xml:space="preserve">is valid for a period of thirty (30) calendar days from the date of issue. Upon expiration, fees may be subject to revision based on prevailing market rates in</w:t>
      </w:r>
      <w:r>
        <w:t xml:space="preserve"> </w:t>
      </w:r>
      <w:r>
        <w:t xml:space="preserve">Egypt Cairo</w:t>
      </w:r>
      <w:r>
        <w:t xml:space="preserve">.</w:t>
      </w:r>
    </w:p>
    <w:p>
      <w:pPr>
        <w:numPr>
          <w:ilvl w:val="0"/>
          <w:numId w:val="1003"/>
        </w:numPr>
        <w:pStyle w:val="Compact"/>
      </w:pPr>
      <w:r>
        <w:t xml:space="preserve">The</w:t>
      </w:r>
      <w:r>
        <w:t xml:space="preserve"> </w:t>
      </w:r>
      <w:r>
        <w:t xml:space="preserve">Lawyer</w:t>
      </w:r>
      <w:r>
        <w:t xml:space="preserve"> </w:t>
      </w:r>
      <w:r>
        <w:t xml:space="preserve">reserves the right to withdraw from representation upon thirty (30) days' written notice, subject to the Client's obligation to pay for all services rendered up to the date of withdrawal.</w:t>
      </w:r>
    </w:p>
    <w:p>
      <w:pPr>
        <w:numPr>
          <w:ilvl w:val="0"/>
          <w:numId w:val="1003"/>
        </w:numPr>
        <w:pStyle w:val="Compact"/>
      </w:pPr>
      <w:r>
        <w:t xml:space="preserve">All communications between the</w:t>
      </w:r>
      <w:r>
        <w:t xml:space="preserve"> </w:t>
      </w:r>
      <w:r>
        <w:t xml:space="preserve">Lawyer</w:t>
      </w:r>
      <w:r>
        <w:t xml:space="preserve"> </w:t>
      </w:r>
      <w:r>
        <w:t xml:space="preserve">and the Client shall be governed by the attorney-client privilege as recognized under Egyptian law. Confidentiality obligations survive the termination of the engagement.</w:t>
      </w:r>
    </w:p>
    <w:p>
      <w:pPr>
        <w:numPr>
          <w:ilvl w:val="0"/>
          <w:numId w:val="1003"/>
        </w:numPr>
        <w:pStyle w:val="Compact"/>
      </w:pPr>
      <w:r>
        <w:t xml:space="preserve">This engagement is governed by and shall be construed in accordance with the laws of the Arab Republic of Egypt. Any disputes arising from this</w:t>
      </w:r>
      <w:r>
        <w:t xml:space="preserve"> </w:t>
      </w:r>
      <w:r>
        <w:t xml:space="preserve">Quotation Estimate</w:t>
      </w:r>
      <w:r>
        <w:t xml:space="preserve"> </w:t>
      </w:r>
      <w:r>
        <w:t xml:space="preserve">or the retainer agreement shall be subject to the exclusive jurisdiction of the courts of Cairo, Egypt.</w:t>
      </w:r>
    </w:p>
    <w:p>
      <w:pPr>
        <w:numPr>
          <w:ilvl w:val="0"/>
          <w:numId w:val="1003"/>
        </w:numPr>
        <w:pStyle w:val="Compact"/>
      </w:pPr>
      <w:r>
        <w:t xml:space="preserve">The</w:t>
      </w:r>
      <w:r>
        <w:t xml:space="preserve"> </w:t>
      </w:r>
      <w:r>
        <w:t xml:space="preserve">Lawyer</w:t>
      </w:r>
      <w:r>
        <w:t xml:space="preserve"> </w:t>
      </w:r>
      <w:r>
        <w:t xml:space="preserve">shall not be liable for any adverse court decision, as legal outcomes are inherently uncertain. Fees are non-refundable once services have been commenced.</w:t>
      </w:r>
    </w:p>
    <w:p>
      <w:pPr>
        <w:numPr>
          <w:ilvl w:val="0"/>
          <w:numId w:val="1003"/>
        </w:numPr>
        <w:pStyle w:val="Compact"/>
      </w:pPr>
      <w:r>
        <w:t xml:space="preserve">Any additional services not expressly included in this</w:t>
      </w:r>
      <w:r>
        <w:t xml:space="preserve"> </w:t>
      </w:r>
      <w:r>
        <w:t xml:space="preserve">Quotation Estimate</w:t>
      </w:r>
      <w:r>
        <w:t xml:space="preserve"> </w:t>
      </w:r>
      <w:r>
        <w:t xml:space="preserve">(e.g., representation before the Court of Cassation, international arbitration, or criminal defense) shall be quoted separately in writing.</w:t>
      </w:r>
    </w:p>
    <w:p>
      <w:pPr>
        <w:numPr>
          <w:ilvl w:val="0"/>
          <w:numId w:val="1003"/>
        </w:numPr>
        <w:pStyle w:val="Compact"/>
      </w:pPr>
      <w:r>
        <w:t xml:space="preserve">The Client agrees to provide all necessary documents, information, and access to relevant parties in a timely manner to enable the</w:t>
      </w:r>
      <w:r>
        <w:t xml:space="preserve"> </w:t>
      </w:r>
      <w:r>
        <w:t xml:space="preserve">Lawyer</w:t>
      </w:r>
      <w:r>
        <w:t xml:space="preserve"> </w:t>
      </w:r>
      <w:r>
        <w:t xml:space="preserve">to perform the agreed-upon services efficiently.</w:t>
      </w:r>
    </w:p>
    <w:p>
      <w:pPr>
        <w:numPr>
          <w:ilvl w:val="0"/>
          <w:numId w:val="1003"/>
        </w:numPr>
        <w:pStyle w:val="Compact"/>
      </w:pPr>
      <w:r>
        <w:t xml:space="preserve">This</w:t>
      </w:r>
      <w:r>
        <w:t xml:space="preserve"> </w:t>
      </w:r>
      <w:r>
        <w:t xml:space="preserve">Quotation Estimate</w:t>
      </w:r>
      <w:r>
        <w:t xml:space="preserve"> </w:t>
      </w:r>
      <w:r>
        <w:t xml:space="preserve">does not constitute a binding retainer agreement. A separate written retainer agreement, signed by both parties, must be executed before the</w:t>
      </w:r>
      <w:r>
        <w:t xml:space="preserve"> </w:t>
      </w:r>
      <w:r>
        <w:t xml:space="preserve">Lawyer</w:t>
      </w:r>
      <w:r>
        <w:t xml:space="preserve"> </w:t>
      </w:r>
      <w:r>
        <w:t xml:space="preserve">commences any legal work.</w:t>
      </w:r>
    </w:p>
    <w:bookmarkEnd w:id="26"/>
    <w:bookmarkStart w:id="27" w:name="acceptance-authorization"/>
    <w:p>
      <w:pPr>
        <w:pStyle w:val="Heading2"/>
      </w:pPr>
      <w:r>
        <w:t xml:space="preserve">5.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fee structure outlined herein for the legal services to be provided by the</w:t>
      </w:r>
      <w:r>
        <w:t xml:space="preserve"> </w:t>
      </w:r>
      <w:r>
        <w:t xml:space="preserve">Lawyer</w:t>
      </w:r>
      <w:r>
        <w:t xml:space="preserve"> </w:t>
      </w:r>
      <w:r>
        <w:t xml:space="preserve">in</w:t>
      </w:r>
      <w:r>
        <w:t xml:space="preserve"> </w:t>
      </w:r>
      <w:r>
        <w:t xml:space="preserve">Egypt Cairo</w:t>
      </w:r>
      <w:r>
        <w:t xml:space="preserve">. This acceptance does not constitute a binding engagement until a formal retainer agreement is executed.</w:t>
      </w:r>
    </w:p>
    <w:p>
      <w:pPr>
        <w:pStyle w:val="BodyText"/>
      </w:pPr>
      <w:r>
        <w:rPr>
          <w:bCs/>
          <w:b/>
        </w:rPr>
        <w:t xml:space="preserve">For the Lawyer / Law Firm:</w:t>
      </w:r>
    </w:p>
    <w:p>
      <w:pPr>
        <w:pStyle w:val="BodyText"/>
      </w:pPr>
      <w:r>
        <w:t xml:space="preserve">Al-Nile Legal Counsel &amp; Associates</w:t>
      </w:r>
    </w:p>
    <w:p>
      <w:pPr>
        <w:pStyle w:val="BodyText"/>
      </w:pPr>
      <w:r>
        <w:rPr>
          <w:bCs/>
          <w:b/>
        </w:rPr>
        <w:t xml:space="preserve">Adv. Dr. Mona Fathy Abdel-Rahman</w:t>
      </w:r>
      <w:r>
        <w:br/>
      </w:r>
      <w:r>
        <w:t xml:space="preserve">Partner &amp; Lead Attorney</w:t>
      </w:r>
      <w:r>
        <w:br/>
      </w:r>
      <w:r>
        <w:t xml:space="preserve">Egyptian Bar Reg. No. EG-C-2019-04872</w:t>
      </w:r>
      <w:r>
        <w:br/>
      </w:r>
      <w:r>
        <w:t xml:space="preserve">Date: _______________</w:t>
      </w:r>
    </w:p>
    <w:p>
      <w:pPr>
        <w:pStyle w:val="BodyText"/>
      </w:pPr>
      <w:r>
        <w:rPr>
          <w:bCs/>
          <w:b/>
        </w:rPr>
        <w:t xml:space="preserve">For the Client:</w:t>
      </w:r>
    </w:p>
    <w:p>
      <w:pPr>
        <w:pStyle w:val="BodyText"/>
      </w:pPr>
      <w:r>
        <w:t xml:space="preserve">Mr. Ahmed Hassan El-Sayed</w:t>
      </w:r>
    </w:p>
    <w:p>
      <w:pPr>
        <w:pStyle w:val="BodyText"/>
      </w:pPr>
      <w:r>
        <w:rPr>
          <w:bCs/>
          <w:b/>
        </w:rPr>
        <w:t xml:space="preserve">Client Signature</w:t>
      </w:r>
      <w:r>
        <w:br/>
      </w:r>
      <w:r>
        <w:t xml:space="preserve">Full Name (Printed): _______________</w:t>
      </w:r>
      <w:r>
        <w:br/>
      </w:r>
      <w:r>
        <w:t xml:space="preserve">National ID: _______________</w:t>
      </w:r>
      <w:r>
        <w:br/>
      </w:r>
      <w:r>
        <w:t xml:space="preserve">Date: _______________</w:t>
      </w:r>
    </w:p>
    <w:p>
      <w:pPr>
        <w:pStyle w:val="BodyText"/>
      </w:pPr>
      <w:r>
        <w:rPr>
          <w:bCs/>
          <w:b/>
        </w:rPr>
        <w:t xml:space="preserve">Al-Nile Legal Counsel &amp; Associates</w:t>
      </w:r>
      <w:r>
        <w:t xml:space="preserve"> </w:t>
      </w:r>
      <w:r>
        <w:t xml:space="preserve">— 42 Tahrir Square, Downtown, Cairo 11511, Egypt</w:t>
      </w:r>
      <w:r>
        <w:br/>
      </w:r>
      <w:r>
        <w:t xml:space="preserve">Tel: +20 2 2578 4410 | Email: info@alnilelegal.eg | Tax Registration No.: 552-884-102</w:t>
      </w:r>
      <w:r>
        <w:br/>
      </w:r>
      <w:r>
        <w:t xml:space="preserve">This Quotation Estimate is issued in duplicate. One copy for the Lawyer's records and one for the Client.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Cairo, Egypt</dc:title>
  <dc:creator/>
  <dc:language>en</dc:language>
  <cp:keywords/>
  <dcterms:created xsi:type="dcterms:W3CDTF">2026-10-10T08:00:49Z</dcterms:created>
  <dcterms:modified xsi:type="dcterms:W3CDTF">2026-10-10T08:00:49Z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