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Lyon,</w:t>
      </w:r>
      <w:r>
        <w:t xml:space="preserve"> </w:t>
      </w:r>
      <w:r>
        <w:t xml:space="preserve">France</w:t>
      </w:r>
    </w:p>
    <w:p>
      <w:pPr>
        <w:pStyle w:val="FirstParagraph"/>
      </w:pPr>
      <w:r>
        <w:t xml:space="preserve">Me. Laurent Beaumont &amp; Associés</w:t>
      </w:r>
    </w:p>
    <w:p>
      <w:pPr>
        <w:pStyle w:val="BodyText"/>
      </w:pPr>
      <w:r>
        <w:t xml:space="preserve">14, Quai de Serbie – 69002 Lyon, France</w:t>
      </w:r>
      <w:r>
        <w:br/>
      </w:r>
      <w:r>
        <w:t xml:space="preserve">Téléphone: +33 (0)4 72 00 00 00 | Email: contact@beaumont-avocats.fr</w:t>
      </w:r>
      <w:r>
        <w:br/>
      </w:r>
      <w:r>
        <w:t xml:space="preserve">Barreau de Lyon – RPPS: 0275/12345</w:t>
      </w:r>
    </w:p>
    <w:bookmarkStart w:id="25" w:name="quotation-estimate-legal-services"/>
    <w:p>
      <w:pPr>
        <w:pStyle w:val="Heading1"/>
      </w:pPr>
      <w:r>
        <w:t xml:space="preserve">Quotation Estimate – Legal Services</w:t>
      </w:r>
    </w:p>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QE-2025-LYO-0487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For (Client):</w:t>
            </w:r>
          </w:p>
        </w:tc>
        <w:tc>
          <w:tcPr/>
          <w:p>
            <w:pPr>
              <w:pStyle w:val="Compact"/>
              <w:jc w:val="left"/>
            </w:pPr>
            <w:r>
              <w:t xml:space="preserve">M. / Mme. [Client Full Name]</w:t>
            </w:r>
            <w:r>
              <w:br/>
            </w:r>
            <w:r>
              <w:t xml:space="preserve">[Client Address]</w:t>
            </w:r>
            <w:r>
              <w:br/>
            </w:r>
            <w:r>
              <w:t xml:space="preserve">69000 Lyon, France</w:t>
            </w:r>
          </w:p>
        </w:tc>
      </w:tr>
      <w:tr>
        <w:tc>
          <w:tcPr/>
          <w:p>
            <w:pPr>
              <w:pStyle w:val="Compact"/>
              <w:jc w:val="left"/>
            </w:pPr>
            <w:r>
              <w:t xml:space="preserve">Prepared By (Lawyer):</w:t>
            </w:r>
          </w:p>
        </w:tc>
        <w:tc>
          <w:tcPr/>
          <w:p>
            <w:pPr>
              <w:pStyle w:val="Compact"/>
              <w:jc w:val="left"/>
            </w:pPr>
            <w:r>
              <w:t xml:space="preserve">Me. Laurent Beaumont, Avocat au Barreau de Lyon</w:t>
            </w:r>
            <w:r>
              <w:br/>
            </w:r>
            <w:r>
              <w:t xml:space="preserve">Specialisation: Corporate Law, Contractual Disputes, and Commercial Litigation</w:t>
            </w:r>
          </w:p>
        </w:tc>
      </w:tr>
      <w:tr>
        <w:tc>
          <w:tcPr/>
          <w:p>
            <w:pPr>
              <w:pStyle w:val="Compact"/>
              <w:jc w:val="left"/>
            </w:pPr>
            <w:r>
              <w:t xml:space="preserve">Matter Reference:</w:t>
            </w:r>
          </w:p>
        </w:tc>
        <w:tc>
          <w:tcPr/>
          <w:p>
            <w:pPr>
              <w:pStyle w:val="Compact"/>
              <w:jc w:val="left"/>
            </w:pPr>
            <w:r>
              <w:t xml:space="preserve">Commercial Contract Dispute – Société [Company Name] SARL</w:t>
            </w:r>
          </w:p>
        </w:tc>
      </w:tr>
    </w:tbl>
    <w:bookmarkStart w:id="20"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the undersigned</w:t>
      </w:r>
      <w:r>
        <w:t xml:space="preserve"> </w:t>
      </w:r>
      <w:r>
        <w:t xml:space="preserve">Lawyer</w:t>
      </w:r>
      <w:r>
        <w:t xml:space="preserve">, Me. Laurent Beaumont, a registered attorney at the Barreau de Lyon, to provide the client with a comprehensive and transparent breakdown of the anticipated professional fees, disbursements, and associated costs for the legal services to be rendered in connection with the matter referenced above. This document serves as a formal</w:t>
      </w:r>
      <w:r>
        <w:t xml:space="preserve"> </w:t>
      </w:r>
      <w:r>
        <w:t xml:space="preserve">Quotation Estimate</w:t>
      </w:r>
      <w:r>
        <w:t xml:space="preserve"> </w:t>
      </w:r>
      <w:r>
        <w:t xml:space="preserve">in accordance with the professional obligations set forth by the French Bar Council (Conseil National des Barreaux) and the applicable provisions of the French Code of Civil Procedure. All services described herein will be performed within the jurisdiction of</w:t>
      </w:r>
      <w:r>
        <w:t xml:space="preserve"> </w:t>
      </w:r>
      <w:r>
        <w:t xml:space="preserve">France Lyon</w:t>
      </w:r>
      <w:r>
        <w:t xml:space="preserve">, specifically before the Tribunal Judiciaire de Lyon and, where applicable, the Cour d'Appel de Lyon.</w:t>
      </w:r>
    </w:p>
    <w:bookmarkEnd w:id="20"/>
    <w:bookmarkStart w:id="21" w:name="scope-of-legal-services"/>
    <w:p>
      <w:pPr>
        <w:pStyle w:val="Heading2"/>
      </w:pPr>
      <w:r>
        <w:t xml:space="preserve">2. Scope of Legal Services</w:t>
      </w:r>
    </w:p>
    <w:p>
      <w:pPr>
        <w:pStyle w:val="FirstParagraph"/>
      </w:pPr>
      <w:r>
        <w:t xml:space="preserve">The</w:t>
      </w:r>
      <w:r>
        <w:t xml:space="preserve"> </w:t>
      </w:r>
      <w:r>
        <w:t xml:space="preserve">Lawyer</w:t>
      </w:r>
      <w:r>
        <w:t xml:space="preserve"> </w:t>
      </w:r>
      <w:r>
        <w:t xml:space="preserve">engaged under this</w:t>
      </w:r>
      <w:r>
        <w:t xml:space="preserve"> </w:t>
      </w:r>
      <w:r>
        <w:t xml:space="preserve">Quotation Estimate</w:t>
      </w:r>
      <w:r>
        <w:t xml:space="preserve"> </w:t>
      </w:r>
      <w:r>
        <w:t xml:space="preserve">shall provide the following services in</w:t>
      </w:r>
      <w:r>
        <w:t xml:space="preserve"> </w:t>
      </w:r>
      <w:r>
        <w:t xml:space="preserve">France Lyon</w:t>
      </w:r>
      <w:r>
        <w:t xml:space="preserve">:</w:t>
      </w:r>
    </w:p>
    <w:p>
      <w:pPr>
        <w:numPr>
          <w:ilvl w:val="0"/>
          <w:numId w:val="1001"/>
        </w:numPr>
        <w:pStyle w:val="Compact"/>
      </w:pPr>
      <w:r>
        <w:t xml:space="preserve">Initial consultation and comprehensive review of all contractual documents, correspondence, and supporting evidence related to the commercial dispute.</w:t>
      </w:r>
    </w:p>
    <w:p>
      <w:pPr>
        <w:numPr>
          <w:ilvl w:val="0"/>
          <w:numId w:val="1001"/>
        </w:numPr>
        <w:pStyle w:val="Compact"/>
      </w:pPr>
      <w:r>
        <w:t xml:space="preserve">Legal analysis and written opinion on the client's position, applicable French commercial law (Code de commerce), and potential remedies available before the courts of</w:t>
      </w:r>
      <w:r>
        <w:t xml:space="preserve"> </w:t>
      </w:r>
      <w:r>
        <w:t xml:space="preserve">France Lyon</w:t>
      </w:r>
      <w:r>
        <w:t xml:space="preserve">.</w:t>
      </w:r>
    </w:p>
    <w:p>
      <w:pPr>
        <w:numPr>
          <w:ilvl w:val="0"/>
          <w:numId w:val="1001"/>
        </w:numPr>
        <w:pStyle w:val="Compact"/>
      </w:pPr>
      <w:r>
        <w:t xml:space="preserve">Drafting and service of a formal mise en demeure (formal notice of default) to the opposing party.</w:t>
      </w:r>
    </w:p>
    <w:p>
      <w:pPr>
        <w:numPr>
          <w:ilvl w:val="0"/>
          <w:numId w:val="1001"/>
        </w:numPr>
        <w:pStyle w:val="Compact"/>
      </w:pPr>
      <w:r>
        <w:t xml:space="preserve">Preparation, filing, and management of the initial claim (assignation en référé or action au fond) before the Tribunal Judiciaire de Lyon.</w:t>
      </w:r>
    </w:p>
    <w:p>
      <w:pPr>
        <w:numPr>
          <w:ilvl w:val="0"/>
          <w:numId w:val="1001"/>
        </w:numPr>
        <w:pStyle w:val="Compact"/>
      </w:pPr>
      <w:r>
        <w:t xml:space="preserve">Representation of the client at all hearings, conciliation sessions, and procedural meetings scheduled before the courts in</w:t>
      </w:r>
      <w:r>
        <w:t xml:space="preserve"> </w:t>
      </w:r>
      <w:r>
        <w:t xml:space="preserve">France Lyon</w:t>
      </w:r>
      <w:r>
        <w:t xml:space="preserve">.</w:t>
      </w:r>
    </w:p>
    <w:p>
      <w:pPr>
        <w:numPr>
          <w:ilvl w:val="0"/>
          <w:numId w:val="1001"/>
        </w:numPr>
        <w:pStyle w:val="Compact"/>
      </w:pPr>
      <w:r>
        <w:t xml:space="preserve">Negotiation of a potential settlement or amicable resolution, including the drafting of any settlement agreement (transaction).</w:t>
      </w:r>
    </w:p>
    <w:p>
      <w:pPr>
        <w:numPr>
          <w:ilvl w:val="0"/>
          <w:numId w:val="1001"/>
        </w:numPr>
        <w:pStyle w:val="Compact"/>
      </w:pPr>
      <w:r>
        <w:t xml:space="preserve">Post-judgment enforcement proceedings, if necessary, before the competent enforcement officers (huissiers de justice) in the Lyon metropolitan area.</w:t>
      </w:r>
    </w:p>
    <w:p>
      <w:pPr>
        <w:numPr>
          <w:ilvl w:val="0"/>
          <w:numId w:val="1001"/>
        </w:numPr>
        <w:pStyle w:val="Compact"/>
      </w:pPr>
      <w:r>
        <w:t xml:space="preserve">General legal correspondence and advisory support throughout the duration of the matter.</w:t>
      </w:r>
    </w:p>
    <w:bookmarkEnd w:id="21"/>
    <w:bookmarkStart w:id="22" w:name="fee-structure-and-cost-breakdown"/>
    <w:p>
      <w:pPr>
        <w:pStyle w:val="Heading2"/>
      </w:pPr>
      <w:r>
        <w:t xml:space="preserve">3. Fee Structure and Cost Breakdown</w:t>
      </w:r>
    </w:p>
    <w:p>
      <w:pPr>
        <w:pStyle w:val="FirstParagraph"/>
      </w:pPr>
      <w:r>
        <w:t xml:space="preserve">The following</w:t>
      </w:r>
      <w:r>
        <w:t xml:space="preserve"> </w:t>
      </w:r>
      <w:r>
        <w:t xml:space="preserve">Quotation Estimate</w:t>
      </w:r>
      <w:r>
        <w:t xml:space="preserve"> </w:t>
      </w:r>
      <w:r>
        <w:t xml:space="preserve">outlines the anticipated fees for the</w:t>
      </w:r>
      <w:r>
        <w:t xml:space="preserve"> </w:t>
      </w:r>
      <w:r>
        <w:t xml:space="preserve">Lawyer</w:t>
      </w:r>
      <w:r>
        <w:t xml:space="preserve">'s professional services. All amounts are expressed in Euros (EUR) and are exclusive of applicable taxes.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Estimated Hours</w:t>
            </w:r>
          </w:p>
        </w:tc>
        <w:tc>
          <w:tcPr/>
          <w:p>
            <w:pPr>
              <w:pStyle w:val="Compact"/>
              <w:jc w:val="left"/>
            </w:pPr>
            <w:r>
              <w:t xml:space="preserve">Rate (EUR/hour)</w:t>
            </w:r>
          </w:p>
        </w:tc>
        <w:tc>
          <w:tcPr/>
          <w:p>
            <w:pPr>
              <w:pStyle w:val="Compact"/>
              <w:jc w:val="left"/>
            </w:pPr>
            <w:r>
              <w:t xml:space="preserve">Estimated Cost (EUR)</w:t>
            </w:r>
          </w:p>
        </w:tc>
      </w:tr>
      <w:tr>
        <w:tc>
          <w:tcPr/>
          <w:p>
            <w:pPr>
              <w:pStyle w:val="Compact"/>
              <w:jc w:val="left"/>
            </w:pPr>
            <w:r>
              <w:t xml:space="preserve">1</w:t>
            </w:r>
          </w:p>
        </w:tc>
        <w:tc>
          <w:tcPr/>
          <w:p>
            <w:pPr>
              <w:pStyle w:val="Compact"/>
              <w:jc w:val="left"/>
            </w:pPr>
            <w:r>
              <w:t xml:space="preserve">Initial consultation, file review, and legal opinion</w:t>
            </w:r>
          </w:p>
        </w:tc>
        <w:tc>
          <w:tcPr/>
          <w:p>
            <w:pPr>
              <w:pStyle w:val="Compact"/>
              <w:jc w:val="left"/>
            </w:pPr>
            <w:r>
              <w:t xml:space="preserve">6</w:t>
            </w:r>
          </w:p>
        </w:tc>
        <w:tc>
          <w:tcPr/>
          <w:p>
            <w:pPr>
              <w:pStyle w:val="Compact"/>
              <w:jc w:val="left"/>
            </w:pPr>
            <w:r>
              <w:t xml:space="preserve">220</w:t>
            </w:r>
          </w:p>
        </w:tc>
        <w:tc>
          <w:tcPr/>
          <w:p>
            <w:pPr>
              <w:pStyle w:val="Compact"/>
              <w:jc w:val="left"/>
            </w:pPr>
            <w:r>
              <w:t xml:space="preserve">1,320.00</w:t>
            </w:r>
          </w:p>
        </w:tc>
      </w:tr>
      <w:tr>
        <w:tc>
          <w:tcPr/>
          <w:p>
            <w:pPr>
              <w:pStyle w:val="Compact"/>
              <w:jc w:val="left"/>
            </w:pPr>
            <w:r>
              <w:t xml:space="preserve">2</w:t>
            </w:r>
          </w:p>
        </w:tc>
        <w:tc>
          <w:tcPr/>
          <w:p>
            <w:pPr>
              <w:pStyle w:val="Compact"/>
              <w:jc w:val="left"/>
            </w:pPr>
            <w:r>
              <w:t xml:space="preserve">Drafting and service of mise en demeure</w:t>
            </w:r>
          </w:p>
        </w:tc>
        <w:tc>
          <w:tcPr/>
          <w:p>
            <w:pPr>
              <w:pStyle w:val="Compact"/>
              <w:jc w:val="left"/>
            </w:pPr>
            <w:r>
              <w:t xml:space="preserve">3</w:t>
            </w:r>
          </w:p>
        </w:tc>
        <w:tc>
          <w:tcPr/>
          <w:p>
            <w:pPr>
              <w:pStyle w:val="Compact"/>
              <w:jc w:val="left"/>
            </w:pPr>
            <w:r>
              <w:t xml:space="preserve">220</w:t>
            </w:r>
          </w:p>
        </w:tc>
        <w:tc>
          <w:tcPr/>
          <w:p>
            <w:pPr>
              <w:pStyle w:val="Compact"/>
              <w:jc w:val="left"/>
            </w:pPr>
            <w:r>
              <w:t xml:space="preserve">660.00</w:t>
            </w:r>
          </w:p>
        </w:tc>
      </w:tr>
      <w:tr>
        <w:tc>
          <w:tcPr/>
          <w:p>
            <w:pPr>
              <w:pStyle w:val="Compact"/>
              <w:jc w:val="left"/>
            </w:pPr>
            <w:r>
              <w:t xml:space="preserve">3</w:t>
            </w:r>
          </w:p>
        </w:tc>
        <w:tc>
          <w:tcPr/>
          <w:p>
            <w:pPr>
              <w:pStyle w:val="Compact"/>
              <w:jc w:val="left"/>
            </w:pPr>
            <w:r>
              <w:t xml:space="preserve">Preparation and filing of court proceedings (Tribunal Judiciaire de Lyon)</w:t>
            </w:r>
          </w:p>
        </w:tc>
        <w:tc>
          <w:tcPr/>
          <w:p>
            <w:pPr>
              <w:pStyle w:val="Compact"/>
              <w:jc w:val="left"/>
            </w:pPr>
            <w:r>
              <w:t xml:space="preserve">10</w:t>
            </w:r>
          </w:p>
        </w:tc>
        <w:tc>
          <w:tcPr/>
          <w:p>
            <w:pPr>
              <w:pStyle w:val="Compact"/>
              <w:jc w:val="left"/>
            </w:pPr>
            <w:r>
              <w:t xml:space="preserve">220</w:t>
            </w:r>
          </w:p>
        </w:tc>
        <w:tc>
          <w:tcPr/>
          <w:p>
            <w:pPr>
              <w:pStyle w:val="Compact"/>
              <w:jc w:val="left"/>
            </w:pPr>
            <w:r>
              <w:t xml:space="preserve">2,200.00</w:t>
            </w:r>
          </w:p>
        </w:tc>
      </w:tr>
      <w:tr>
        <w:tc>
          <w:tcPr/>
          <w:p>
            <w:pPr>
              <w:pStyle w:val="Compact"/>
              <w:jc w:val="left"/>
            </w:pPr>
            <w:r>
              <w:t xml:space="preserve">4</w:t>
            </w:r>
          </w:p>
        </w:tc>
        <w:tc>
          <w:tcPr/>
          <w:p>
            <w:pPr>
              <w:pStyle w:val="Compact"/>
              <w:jc w:val="left"/>
            </w:pPr>
            <w:r>
              <w:t xml:space="preserve">Court representation and hearing attendance (estimated 3 hearings)</w:t>
            </w:r>
          </w:p>
        </w:tc>
        <w:tc>
          <w:tcPr/>
          <w:p>
            <w:pPr>
              <w:pStyle w:val="Compact"/>
              <w:jc w:val="left"/>
            </w:pPr>
            <w:r>
              <w:t xml:space="preserve">9</w:t>
            </w:r>
          </w:p>
        </w:tc>
        <w:tc>
          <w:tcPr/>
          <w:p>
            <w:pPr>
              <w:pStyle w:val="Compact"/>
              <w:jc w:val="left"/>
            </w:pPr>
            <w:r>
              <w:t xml:space="preserve">220</w:t>
            </w:r>
          </w:p>
        </w:tc>
        <w:tc>
          <w:tcPr/>
          <w:p>
            <w:pPr>
              <w:pStyle w:val="Compact"/>
              <w:jc w:val="left"/>
            </w:pPr>
            <w:r>
              <w:t xml:space="preserve">1,980.00</w:t>
            </w:r>
          </w:p>
        </w:tc>
      </w:tr>
      <w:tr>
        <w:tc>
          <w:tcPr/>
          <w:p>
            <w:pPr>
              <w:pStyle w:val="Compact"/>
              <w:jc w:val="left"/>
            </w:pPr>
            <w:r>
              <w:t xml:space="preserve">5</w:t>
            </w:r>
          </w:p>
        </w:tc>
        <w:tc>
          <w:tcPr/>
          <w:p>
            <w:pPr>
              <w:pStyle w:val="Compact"/>
              <w:jc w:val="left"/>
            </w:pPr>
            <w:r>
              <w:t xml:space="preserve">Settlement negotiation and drafting of transaction agreement</w:t>
            </w:r>
          </w:p>
        </w:tc>
        <w:tc>
          <w:tcPr/>
          <w:p>
            <w:pPr>
              <w:pStyle w:val="Compact"/>
              <w:jc w:val="left"/>
            </w:pPr>
            <w:r>
              <w:t xml:space="preserve">5</w:t>
            </w:r>
          </w:p>
        </w:tc>
        <w:tc>
          <w:tcPr/>
          <w:p>
            <w:pPr>
              <w:pStyle w:val="Compact"/>
              <w:jc w:val="left"/>
            </w:pPr>
            <w:r>
              <w:t xml:space="preserve">220</w:t>
            </w:r>
          </w:p>
        </w:tc>
        <w:tc>
          <w:tcPr/>
          <w:p>
            <w:pPr>
              <w:pStyle w:val="Compact"/>
              <w:jc w:val="left"/>
            </w:pPr>
            <w:r>
              <w:t xml:space="preserve">1,100.00</w:t>
            </w:r>
          </w:p>
        </w:tc>
      </w:tr>
      <w:tr>
        <w:tc>
          <w:tcPr/>
          <w:p>
            <w:pPr>
              <w:pStyle w:val="Compact"/>
              <w:jc w:val="left"/>
            </w:pPr>
            <w:r>
              <w:t xml:space="preserve">6</w:t>
            </w:r>
          </w:p>
        </w:tc>
        <w:tc>
          <w:tcPr/>
          <w:p>
            <w:pPr>
              <w:pStyle w:val="Compact"/>
              <w:jc w:val="left"/>
            </w:pPr>
            <w:r>
              <w:t xml:space="preserve">Post-judgment enforcement and follow-up correspondence</w:t>
            </w:r>
          </w:p>
        </w:tc>
        <w:tc>
          <w:tcPr/>
          <w:p>
            <w:pPr>
              <w:pStyle w:val="Compact"/>
              <w:jc w:val="left"/>
            </w:pPr>
            <w:r>
              <w:t xml:space="preserve">4</w:t>
            </w:r>
          </w:p>
        </w:tc>
        <w:tc>
          <w:tcPr/>
          <w:p>
            <w:pPr>
              <w:pStyle w:val="Compact"/>
              <w:jc w:val="left"/>
            </w:pPr>
            <w:r>
              <w:t xml:space="preserve">220</w:t>
            </w:r>
          </w:p>
        </w:tc>
        <w:tc>
          <w:tcPr/>
          <w:p>
            <w:pPr>
              <w:pStyle w:val="Compact"/>
              <w:jc w:val="left"/>
            </w:pPr>
            <w:r>
              <w:t xml:space="preserve">880.00</w:t>
            </w:r>
          </w:p>
        </w:tc>
      </w:tr>
      <w:tr>
        <w:tc>
          <w:tcPr/>
          <w:p>
            <w:pPr>
              <w:pStyle w:val="Compact"/>
              <w:jc w:val="left"/>
            </w:pPr>
            <w:r>
              <w:t xml:space="preserve">7</w:t>
            </w:r>
          </w:p>
        </w:tc>
        <w:tc>
          <w:tcPr/>
          <w:p>
            <w:pPr>
              <w:pStyle w:val="Compact"/>
              <w:jc w:val="left"/>
            </w:pPr>
            <w:r>
              <w:t xml:space="preserve">Court fees, filing fees, and procedural disbursements (Tribunal de Lyon)</w:t>
            </w:r>
          </w:p>
        </w:tc>
        <w:tc>
          <w:tcPr/>
          <w:p>
            <w:pPr>
              <w:pStyle w:val="Compact"/>
              <w:jc w:val="left"/>
            </w:pPr>
            <w:r>
              <w:t xml:space="preserve">—</w:t>
            </w:r>
          </w:p>
        </w:tc>
        <w:tc>
          <w:tcPr/>
          <w:p>
            <w:pPr>
              <w:pStyle w:val="Compact"/>
              <w:jc w:val="left"/>
            </w:pPr>
            <w:r>
              <w:t xml:space="preserve">—</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Service of process by huissier de justice (Lyon area)</w:t>
            </w:r>
          </w:p>
        </w:tc>
        <w:tc>
          <w:tcPr/>
          <w:p>
            <w:pPr>
              <w:pStyle w:val="Compact"/>
              <w:jc w:val="left"/>
            </w:pPr>
            <w:r>
              <w:t xml:space="preserve">—</w:t>
            </w:r>
          </w:p>
        </w:tc>
        <w:tc>
          <w:tcPr/>
          <w:p>
            <w:pPr>
              <w:pStyle w:val="Compact"/>
              <w:jc w:val="left"/>
            </w:pPr>
            <w:r>
              <w:t xml:space="preserve">—</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Expert report fees (if court-appointed expert is required)</w:t>
            </w:r>
          </w:p>
        </w:tc>
        <w:tc>
          <w:tcPr/>
          <w:p>
            <w:pPr>
              <w:pStyle w:val="Compact"/>
              <w:jc w:val="left"/>
            </w:pPr>
            <w:r>
              <w:t xml:space="preserve">—</w:t>
            </w:r>
          </w:p>
        </w:tc>
        <w:tc>
          <w:tcPr/>
          <w:p>
            <w:pPr>
              <w:pStyle w:val="Compact"/>
              <w:jc w:val="left"/>
            </w:pPr>
            <w:r>
              <w:t xml:space="preserve">—</w:t>
            </w:r>
          </w:p>
        </w:tc>
        <w:tc>
          <w:tcPr/>
          <w:p>
            <w:pPr>
              <w:pStyle w:val="Compact"/>
              <w:jc w:val="left"/>
            </w:pPr>
            <w:r>
              <w:t xml:space="preserve">2,000.00</w:t>
            </w:r>
          </w:p>
        </w:tc>
      </w:tr>
      <w:tr>
        <w:tc>
          <w:tcPr>
            <w:gridSpan w:val="4"/>
          </w:tcPr>
          <w:p>
            <w:pPr>
              <w:pStyle w:val="Compact"/>
              <w:jc w:val="left"/>
            </w:pPr>
            <w:r>
              <w:t xml:space="preserve">Subtotal (Professional Fees + Disbursements)</w:t>
            </w:r>
          </w:p>
        </w:tc>
        <w:tc>
          <w:tcPr/>
          <w:p>
            <w:pPr>
              <w:pStyle w:val="Compact"/>
              <w:jc w:val="left"/>
            </w:pPr>
            <w:r>
              <w:t xml:space="preserve">12,090.00</w:t>
            </w:r>
          </w:p>
        </w:tc>
      </w:tr>
      <w:tr>
        <w:tc>
          <w:tcPr>
            <w:gridSpan w:val="4"/>
          </w:tcPr>
          <w:p>
            <w:pPr>
              <w:pStyle w:val="Compact"/>
              <w:jc w:val="left"/>
            </w:pPr>
            <w:r>
              <w:t xml:space="preserve">TVA (20% VAT on professional fees only)</w:t>
            </w:r>
          </w:p>
        </w:tc>
        <w:tc>
          <w:tcPr/>
          <w:p>
            <w:pPr>
              <w:pStyle w:val="Compact"/>
              <w:jc w:val="left"/>
            </w:pPr>
            <w:r>
              <w:t xml:space="preserve">1,980.00</w:t>
            </w:r>
          </w:p>
        </w:tc>
      </w:tr>
      <w:tr>
        <w:tc>
          <w:tcPr>
            <w:gridSpan w:val="4"/>
          </w:tcPr>
          <w:p>
            <w:pPr>
              <w:pStyle w:val="Compact"/>
              <w:jc w:val="left"/>
            </w:pPr>
            <w:r>
              <w:t xml:space="preserve">TOTAL ESTIMATED COST (TTC)</w:t>
            </w:r>
          </w:p>
        </w:tc>
        <w:tc>
          <w:tcPr/>
          <w:p>
            <w:pPr>
              <w:pStyle w:val="Compact"/>
              <w:jc w:val="left"/>
            </w:pPr>
            <w:r>
              <w:t xml:space="preserve">14,070.00</w:t>
            </w:r>
          </w:p>
        </w:tc>
      </w:tr>
    </w:tbl>
    <w:bookmarkEnd w:id="22"/>
    <w:bookmarkStart w:id="23"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Lawyer</w:t>
      </w:r>
      <w:r>
        <w:t xml:space="preserve"> </w:t>
      </w:r>
      <w:r>
        <w:t xml:space="preserve">reserves the right to revise the fee structure based on prevailing market rates at the Barreau de Lyon.</w:t>
      </w:r>
    </w:p>
    <w:p>
      <w:pPr>
        <w:numPr>
          <w:ilvl w:val="0"/>
          <w:numId w:val="1002"/>
        </w:numPr>
        <w:pStyle w:val="Compact"/>
      </w:pPr>
      <w:r>
        <w:t xml:space="preserve">The fees quoted herein are estimates based on the current scope of work. Should the matter require additional proceedings, appeals before the Cour d'Appel de Lyon, or unforeseen complexity, a supplementary</w:t>
      </w:r>
      <w:r>
        <w:t xml:space="preserve"> </w:t>
      </w:r>
      <w:r>
        <w:t xml:space="preserve">Quotation Estimate</w:t>
      </w:r>
      <w:r>
        <w:t xml:space="preserve"> </w:t>
      </w:r>
      <w:r>
        <w:t xml:space="preserve">will be issued prior to any additional work being undertaken.</w:t>
      </w:r>
    </w:p>
    <w:p>
      <w:pPr>
        <w:numPr>
          <w:ilvl w:val="0"/>
          <w:numId w:val="1002"/>
        </w:numPr>
        <w:pStyle w:val="Compact"/>
      </w:pPr>
      <w:r>
        <w:t xml:space="preserve">Payment terms: A retainer of 30% of the total estimated professional fees (excluding disbursements) is due upon acceptance of this</w:t>
      </w:r>
      <w:r>
        <w:t xml:space="preserve"> </w:t>
      </w:r>
      <w:r>
        <w:t xml:space="preserve">Quotation Estimate</w:t>
      </w:r>
      <w:r>
        <w:t xml:space="preserve">. The remaining balance shall be invoiced in monthly installments as work progresses, with final settlement within thirty (30) days of the conclusion of the matter.</w:t>
      </w:r>
    </w:p>
    <w:p>
      <w:pPr>
        <w:numPr>
          <w:ilvl w:val="0"/>
          <w:numId w:val="1002"/>
        </w:numPr>
        <w:pStyle w:val="Compact"/>
      </w:pPr>
      <w:r>
        <w:t xml:space="preserve">All disbursements (court fees, huissier fees, expert fees, travel expenses within the Lyon metropolitan area) will be invoiced at actual cost with supporting receipts provided to the client.</w:t>
      </w:r>
    </w:p>
    <w:p>
      <w:pPr>
        <w:numPr>
          <w:ilvl w:val="0"/>
          <w:numId w:val="1002"/>
        </w:numPr>
        <w:pStyle w:val="Compact"/>
      </w:pPr>
      <w:r>
        <w:t xml:space="preserve">The</w:t>
      </w:r>
      <w:r>
        <w:t xml:space="preserve"> </w:t>
      </w:r>
      <w:r>
        <w:t xml:space="preserve">Lawyer</w:t>
      </w:r>
      <w:r>
        <w:t xml:space="preserve"> </w:t>
      </w:r>
      <w:r>
        <w:t xml:space="preserve">shall maintain professional confidentiality in accordance with the French legal professional privilege (secret professionnel) as defined by Article 66-5 of the Loi du 31 décembre 1971.</w:t>
      </w:r>
    </w:p>
    <w:p>
      <w:pPr>
        <w:numPr>
          <w:ilvl w:val="0"/>
          <w:numId w:val="1002"/>
        </w:numPr>
        <w:pStyle w:val="Compact"/>
      </w:pPr>
      <w:r>
        <w:t xml:space="preserve">This</w:t>
      </w:r>
      <w:r>
        <w:t xml:space="preserve"> </w:t>
      </w:r>
      <w:r>
        <w:t xml:space="preserve">Quotation Estimate</w:t>
      </w:r>
      <w:r>
        <w:t xml:space="preserve"> </w:t>
      </w:r>
      <w:r>
        <w:t xml:space="preserve">does not constitute a guarantee of outcome. The</w:t>
      </w:r>
      <w:r>
        <w:t xml:space="preserve"> </w:t>
      </w:r>
      <w:r>
        <w:t xml:space="preserve">Lawyer</w:t>
      </w:r>
      <w:r>
        <w:t xml:space="preserve"> </w:t>
      </w:r>
      <w:r>
        <w:t xml:space="preserve">shall exercise all due diligence and professional competence in representing the client's interests before the courts of</w:t>
      </w:r>
      <w:r>
        <w:t xml:space="preserve"> </w:t>
      </w:r>
      <w:r>
        <w:t xml:space="preserve">France Lyon</w:t>
      </w:r>
      <w:r>
        <w:t xml:space="preserve">.</w:t>
      </w:r>
    </w:p>
    <w:p>
      <w:pPr>
        <w:numPr>
          <w:ilvl w:val="0"/>
          <w:numId w:val="1002"/>
        </w:numPr>
        <w:pStyle w:val="Compact"/>
      </w:pPr>
      <w:r>
        <w:t xml:space="preserve">Any dispute regarding the fees or services described in this</w:t>
      </w:r>
      <w:r>
        <w:t xml:space="preserve"> </w:t>
      </w:r>
      <w:r>
        <w:t xml:space="preserve">Quotation Estimate</w:t>
      </w:r>
      <w:r>
        <w:t xml:space="preserve"> </w:t>
      </w:r>
      <w:r>
        <w:t xml:space="preserve">shall be submitted to the competent jurisdiction of the Tribunal Judiciaire de Lyon,</w:t>
      </w:r>
      <w:r>
        <w:t xml:space="preserve"> </w:t>
      </w:r>
      <w:r>
        <w:t xml:space="preserve">France Lyon</w:t>
      </w:r>
      <w:r>
        <w:t xml:space="preserve">.</w:t>
      </w:r>
    </w:p>
    <w:p>
      <w:pPr>
        <w:numPr>
          <w:ilvl w:val="0"/>
          <w:numId w:val="1002"/>
        </w:numPr>
        <w:pStyle w:val="Compact"/>
      </w:pPr>
      <w:r>
        <w:t xml:space="preserve">The client acknowledges that the</w:t>
      </w:r>
      <w:r>
        <w:t xml:space="preserve"> </w:t>
      </w:r>
      <w:r>
        <w:t xml:space="preserve">Lawyer</w:t>
      </w:r>
      <w:r>
        <w:t xml:space="preserve"> </w:t>
      </w:r>
      <w:r>
        <w:t xml:space="preserve">is a member of the Barreau de Lyon and is subject to the disciplinary oversight of the Conseil de Discipline du Barreau de Lyon.</w:t>
      </w:r>
    </w:p>
    <w:bookmarkEnd w:id="23"/>
    <w:bookmarkStart w:id="24"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set forth herein for the legal services to be provided by the</w:t>
      </w:r>
      <w:r>
        <w:t xml:space="preserve"> </w:t>
      </w:r>
      <w:r>
        <w:t xml:space="preserve">Lawyer</w:t>
      </w:r>
      <w:r>
        <w:t xml:space="preserve"> </w:t>
      </w:r>
      <w:r>
        <w:t xml:space="preserve">in</w:t>
      </w:r>
      <w:r>
        <w:t xml:space="preserve"> </w:t>
      </w:r>
      <w:r>
        <w:t xml:space="preserve">France Lyon</w:t>
      </w:r>
      <w:r>
        <w:t xml:space="preserve">.</w:t>
      </w:r>
    </w:p>
    <w:p>
      <w:pPr>
        <w:pStyle w:val="BodyText"/>
      </w:pPr>
      <w:r>
        <w:t xml:space="preserve">For the Client</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For the Lawyer (Me. Laurent Beaumont)</w:t>
      </w:r>
    </w:p>
    <w:p>
      <w:pPr>
        <w:pStyle w:val="BodyText"/>
      </w:pPr>
      <w:r>
        <w:t xml:space="preserve">Signature: ______________________________</w:t>
      </w:r>
    </w:p>
    <w:p>
      <w:pPr>
        <w:pStyle w:val="BodyText"/>
      </w:pPr>
      <w:r>
        <w:t xml:space="preserve">Date: ______________________________</w:t>
      </w:r>
    </w:p>
    <w:p>
      <w:pPr>
        <w:pStyle w:val="BodyText"/>
      </w:pPr>
      <w:r>
        <w:t xml:space="preserve">Barreau de Lyon – RPPS: 0275/12345</w:t>
      </w:r>
    </w:p>
    <w:p>
      <w:pPr>
        <w:pStyle w:val="BodyText"/>
      </w:pPr>
      <w:r>
        <w:t xml:space="preserve">This Quotation Estimate was prepared by Me. Laurent Beaumont &amp; Associés, Avocats, 14 Quai de Serbie, 69002 Lyon, France.</w:t>
      </w:r>
      <w:r>
        <w:br/>
      </w:r>
      <w:r>
        <w:t xml:space="preserve">Registered at the Barreau de Lyon. This document is issued in two (2) original copies, one for the client and one for the firm's records.</w:t>
      </w:r>
      <w:r>
        <w:br/>
      </w:r>
      <w:r>
        <w:t xml:space="preserve">Reference: QE-2025-LYO-0487 | Lyon, France | 15 June 2025</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Lyon, France</dc:title>
  <dc:creator/>
  <dc:language>en</dc:language>
  <cp:keywords/>
  <dcterms:created xsi:type="dcterms:W3CDTF">2026-10-10T06:28:49Z</dcterms:created>
  <dcterms:modified xsi:type="dcterms:W3CDTF">2026-10-10T06:28:49Z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