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Legal</w:t>
      </w:r>
      <w:r>
        <w:t xml:space="preserve"> </w:t>
      </w:r>
      <w:r>
        <w:t xml:space="preserve">Services</w:t>
      </w:r>
      <w:r>
        <w:t xml:space="preserve"> </w:t>
      </w:r>
      <w:r>
        <w:t xml:space="preserve">-</w:t>
      </w:r>
      <w:r>
        <w:t xml:space="preserve"> </w:t>
      </w:r>
      <w:r>
        <w:t xml:space="preserve">Marseille,</w:t>
      </w:r>
      <w:r>
        <w:t xml:space="preserve"> </w:t>
      </w:r>
      <w:r>
        <w:t xml:space="preserve">France</w:t>
      </w:r>
    </w:p>
    <w:bookmarkStart w:id="20" w:name="quotation-estimate"/>
    <w:p>
      <w:pPr>
        <w:pStyle w:val="Heading1"/>
      </w:pPr>
      <w:r>
        <w:t xml:space="preserve">QUOTATION ESTIMATE</w:t>
      </w:r>
    </w:p>
    <w:p>
      <w:pPr>
        <w:pStyle w:val="FirstParagraph"/>
      </w:pPr>
      <w:r>
        <w:t xml:space="preserve">Professional Legal Services — Attorney at Law</w:t>
      </w:r>
    </w:p>
    <w:p>
      <w:pPr>
        <w:pStyle w:val="BodyText"/>
      </w:pPr>
      <w:r>
        <w:t xml:space="preserve">Ref: QTE-2025-MRS-0472  |  Date: 14 June 2025</w:t>
      </w:r>
    </w:p>
    <w:bookmarkEnd w:id="20"/>
    <w:p>
      <w:pPr>
        <w:pStyle w:val="BodyText"/>
      </w:pPr>
      <w:r>
        <w:rPr>
          <w:bCs/>
          <w:b/>
        </w:rPr>
        <w:t xml:space="preserve">Me. Laurent Delacroix &amp; Associés</w:t>
      </w:r>
      <w:r>
        <w:br/>
      </w:r>
      <w:r>
        <w:t xml:space="preserve">Avocats Associés — Barreau de Marseille</w:t>
      </w:r>
      <w:r>
        <w:br/>
      </w:r>
      <w:r>
        <w:t xml:space="preserve">27 Rue Paradis, 13006 Marseille, France</w:t>
      </w:r>
      <w:r>
        <w:br/>
      </w:r>
      <w:r>
        <w:t xml:space="preserve">Tel: +33 (0)4 91 54 22 18</w:t>
      </w:r>
      <w:r>
        <w:br/>
      </w:r>
      <w:r>
        <w:t xml:space="preserve">Email: contact@delacroix-avocats-mrs.fr</w:t>
      </w:r>
      <w:r>
        <w:br/>
      </w:r>
      <w:r>
        <w:t xml:space="preserve">SIRET: 842 567 391 00027</w:t>
      </w:r>
    </w:p>
    <w:p>
      <w:pPr>
        <w:pStyle w:val="BodyText"/>
      </w:pPr>
      <w:r>
        <w:rPr>
          <w:bCs/>
          <w:b/>
        </w:rPr>
        <w:t xml:space="preserve">Prepared for:</w:t>
      </w:r>
      <w:r>
        <w:br/>
      </w:r>
      <w:r>
        <w:t xml:space="preserve">M. Jean-Pierre Moreau</w:t>
      </w:r>
      <w:r>
        <w:br/>
      </w:r>
      <w:r>
        <w:t xml:space="preserve">14 Chemin des Oliviers</w:t>
      </w:r>
      <w:r>
        <w:br/>
      </w:r>
      <w:r>
        <w:t xml:space="preserve">13008 Marseille, France</w:t>
      </w:r>
      <w:r>
        <w:br/>
      </w:r>
      <w:r>
        <w:t xml:space="preserve">Tel: +33 (0)6 72 45 89 01</w:t>
      </w:r>
      <w:r>
        <w:br/>
      </w:r>
      <w:r>
        <w:t xml:space="preserve">Email: jp.moreau@email.fr</w:t>
      </w:r>
    </w:p>
    <w:bookmarkStart w:id="21" w:name="purpose-of-this-quotation-estimate"/>
    <w:p>
      <w:pPr>
        <w:pStyle w:val="Heading2"/>
      </w:pPr>
      <w:r>
        <w:t xml:space="preserve">1. Purpose of This Quotation Estimate</w:t>
      </w:r>
    </w:p>
    <w:p>
      <w:pPr>
        <w:pStyle w:val="FirstParagraph"/>
      </w:pPr>
      <w:r>
        <w:t xml:space="preserve">This Quotation Estimate is issued by the undersigned Lawyer, Me. Laurent Delacroix, a registered attorney at the Barreau de Marseille, to provide a comprehensive and transparent breakdown of the anticipated professional fees and costs associated with the legal representation and advisory services to be rendered to the above-named client. This document constitutes a formal Quotation Estimate in accordance with the professional rules governing the legal profession in France, specifically under the provisions of the</w:t>
      </w:r>
      <w:r>
        <w:t xml:space="preserve"> </w:t>
      </w:r>
      <w:r>
        <w:rPr>
          <w:iCs/>
          <w:i/>
        </w:rPr>
        <w:t xml:space="preserve">Code de déontologie des avocats</w:t>
      </w:r>
      <w:r>
        <w:t xml:space="preserve"> </w:t>
      </w:r>
      <w:r>
        <w:t xml:space="preserve">and the applicable fee regulations of the Barreau de Marseille.</w:t>
      </w:r>
    </w:p>
    <w:p>
      <w:pPr>
        <w:pStyle w:val="BodyText"/>
      </w:pPr>
      <w:r>
        <w:t xml:space="preserve">The Lawyer hereby confirms that the scope of work described in this Quotation Estimate covers all legal matters pertaining to the client's commercial dispute and associated contractual review, as discussed during the initial consultation held on 28 May 2025 at the firm's offices in the 6th arrondissement of Marseille, France.</w:t>
      </w:r>
    </w:p>
    <w:bookmarkEnd w:id="21"/>
    <w:bookmarkStart w:id="22" w:name="scope-of-legal-services"/>
    <w:p>
      <w:pPr>
        <w:pStyle w:val="Heading2"/>
      </w:pPr>
      <w:r>
        <w:t xml:space="preserve">2. Scope of Legal Services</w:t>
      </w:r>
    </w:p>
    <w:p>
      <w:pPr>
        <w:pStyle w:val="FirstParagraph"/>
      </w:pPr>
      <w:r>
        <w:t xml:space="preserve">The Lawyer agrees to provide the following services as part of this engagement:</w:t>
      </w:r>
    </w:p>
    <w:p>
      <w:pPr>
        <w:numPr>
          <w:ilvl w:val="0"/>
          <w:numId w:val="1001"/>
        </w:numPr>
        <w:pStyle w:val="Compact"/>
      </w:pPr>
      <w:r>
        <w:t xml:space="preserve">Full legal representation before the Tribunal de Commerce de Marseille in the matter of</w:t>
      </w:r>
      <w:r>
        <w:t xml:space="preserve"> </w:t>
      </w:r>
      <w:r>
        <w:rPr>
          <w:iCs/>
          <w:i/>
        </w:rPr>
        <w:t xml:space="preserve">Moreau v. Société BTP Provence SARL</w:t>
      </w:r>
      <w:r>
        <w:t xml:space="preserve"> </w:t>
      </w:r>
      <w:r>
        <w:t xml:space="preserve">(Case No. 25/03412).</w:t>
      </w:r>
    </w:p>
    <w:p>
      <w:pPr>
        <w:numPr>
          <w:ilvl w:val="0"/>
          <w:numId w:val="1001"/>
        </w:numPr>
        <w:pStyle w:val="Compact"/>
      </w:pPr>
      <w:r>
        <w:t xml:space="preserve">Comprehensive review and analysis of the commercial supply agreement dated 12 March 2024, including identification of breach clauses and liability provisions.</w:t>
      </w:r>
    </w:p>
    <w:p>
      <w:pPr>
        <w:numPr>
          <w:ilvl w:val="0"/>
          <w:numId w:val="1001"/>
        </w:numPr>
        <w:pStyle w:val="Compact"/>
      </w:pPr>
      <w:r>
        <w:t xml:space="preserve">Preparation and filing of all necessary pleadings, motions, and legal memoranda before the competent court in Marseille.</w:t>
      </w:r>
    </w:p>
    <w:p>
      <w:pPr>
        <w:numPr>
          <w:ilvl w:val="0"/>
          <w:numId w:val="1001"/>
        </w:numPr>
        <w:pStyle w:val="Compact"/>
      </w:pPr>
      <w:r>
        <w:t xml:space="preserve">Two (2) in-person strategy meetings with the client at the firm's offices in Marseille, France, plus unlimited telephone consultations.</w:t>
      </w:r>
    </w:p>
    <w:p>
      <w:pPr>
        <w:numPr>
          <w:ilvl w:val="0"/>
          <w:numId w:val="1001"/>
        </w:numPr>
        <w:pStyle w:val="Compact"/>
      </w:pPr>
      <w:r>
        <w:t xml:space="preserve">Negotiation of a potential settlement or mediation process, should the opposing party express willingness to resolve the dispute out of court.</w:t>
      </w:r>
    </w:p>
    <w:p>
      <w:pPr>
        <w:numPr>
          <w:ilvl w:val="0"/>
          <w:numId w:val="1001"/>
        </w:numPr>
        <w:pStyle w:val="Compact"/>
      </w:pPr>
      <w:r>
        <w:t xml:space="preserve">Post-judgment enforcement assistance, including coordination with a</w:t>
      </w:r>
      <w:r>
        <w:t xml:space="preserve"> </w:t>
      </w:r>
      <w:r>
        <w:rPr>
          <w:iCs/>
          <w:i/>
        </w:rPr>
        <w:t xml:space="preserve">huissier de justice</w:t>
      </w:r>
      <w:r>
        <w:t xml:space="preserve"> </w:t>
      </w:r>
      <w:r>
        <w:t xml:space="preserve">(bailiff) registered in the Bouches-du-Rhône department, if required.</w:t>
      </w:r>
    </w:p>
    <w:p>
      <w:pPr>
        <w:numPr>
          <w:ilvl w:val="0"/>
          <w:numId w:val="1001"/>
        </w:numPr>
        <w:pStyle w:val="Compact"/>
      </w:pPr>
      <w:r>
        <w:t xml:space="preserve">General legal advisory on French commercial law matters arising from the dispute, limited to a maximum of ten (10) hours of additional consultation.</w:t>
      </w:r>
    </w:p>
    <w:bookmarkEnd w:id="22"/>
    <w:bookmarkStart w:id="23" w:name="fee-structure-cost-breakdown"/>
    <w:p>
      <w:pPr>
        <w:pStyle w:val="Heading2"/>
      </w:pPr>
      <w:r>
        <w:t xml:space="preserve">3. Fee Structure &amp; Cost Breakdown</w:t>
      </w:r>
    </w:p>
    <w:p>
      <w:pPr>
        <w:pStyle w:val="FirstParagraph"/>
      </w:pPr>
      <w:r>
        <w:t xml:space="preserve">The following Quotation Estimate details the anticipated fees. All amounts are expressed in Euros (EUR) and are exclusive of applicable French Value Added Tax (TVA) at the rate of 20%, unless otherwise stated.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Estimated Hours</w:t>
            </w:r>
          </w:p>
        </w:tc>
        <w:tc>
          <w:tcPr/>
          <w:p>
            <w:pPr>
              <w:pStyle w:val="Compact"/>
              <w:jc w:val="left"/>
            </w:pPr>
            <w:r>
              <w:t xml:space="preserve">Hourly Rate (EUR)</w:t>
            </w:r>
          </w:p>
        </w:tc>
        <w:tc>
          <w:tcPr/>
          <w:p>
            <w:pPr>
              <w:pStyle w:val="Compact"/>
              <w:jc w:val="left"/>
            </w:pPr>
            <w:r>
              <w:t xml:space="preserve">Estimated Cost (EUR)</w:t>
            </w:r>
          </w:p>
        </w:tc>
      </w:tr>
      <w:tr>
        <w:tc>
          <w:tcPr/>
          <w:p>
            <w:pPr>
              <w:pStyle w:val="Compact"/>
              <w:jc w:val="left"/>
            </w:pPr>
            <w:r>
              <w:t xml:space="preserve">1</w:t>
            </w:r>
          </w:p>
        </w:tc>
        <w:tc>
          <w:tcPr/>
          <w:p>
            <w:pPr>
              <w:pStyle w:val="Compact"/>
              <w:jc w:val="left"/>
            </w:pPr>
            <w:r>
              <w:t xml:space="preserve">Initial case assessment, file review, and legal strategy formulation</w:t>
            </w:r>
          </w:p>
        </w:tc>
        <w:tc>
          <w:tcPr/>
          <w:p>
            <w:pPr>
              <w:pStyle w:val="Compact"/>
              <w:jc w:val="left"/>
            </w:pPr>
            <w:r>
              <w:t xml:space="preserve">6</w:t>
            </w:r>
          </w:p>
        </w:tc>
        <w:tc>
          <w:tcPr/>
          <w:p>
            <w:pPr>
              <w:pStyle w:val="Compact"/>
              <w:jc w:val="left"/>
            </w:pPr>
            <w:r>
              <w:t xml:space="preserve">220.00</w:t>
            </w:r>
          </w:p>
        </w:tc>
        <w:tc>
          <w:tcPr/>
          <w:p>
            <w:pPr>
              <w:pStyle w:val="Compact"/>
              <w:jc w:val="left"/>
            </w:pPr>
            <w:r>
              <w:t xml:space="preserve">1,320.00</w:t>
            </w:r>
          </w:p>
        </w:tc>
      </w:tr>
      <w:tr>
        <w:tc>
          <w:tcPr/>
          <w:p>
            <w:pPr>
              <w:pStyle w:val="Compact"/>
              <w:jc w:val="left"/>
            </w:pPr>
            <w:r>
              <w:t xml:space="preserve">2</w:t>
            </w:r>
          </w:p>
        </w:tc>
        <w:tc>
          <w:tcPr/>
          <w:p>
            <w:pPr>
              <w:pStyle w:val="Compact"/>
              <w:jc w:val="left"/>
            </w:pPr>
            <w:r>
              <w:t xml:space="preserve">Contractual analysis and breach identification (commercial supply agreement)</w:t>
            </w:r>
          </w:p>
        </w:tc>
        <w:tc>
          <w:tcPr/>
          <w:p>
            <w:pPr>
              <w:pStyle w:val="Compact"/>
              <w:jc w:val="left"/>
            </w:pPr>
            <w:r>
              <w:t xml:space="preserve">8</w:t>
            </w:r>
          </w:p>
        </w:tc>
        <w:tc>
          <w:tcPr/>
          <w:p>
            <w:pPr>
              <w:pStyle w:val="Compact"/>
              <w:jc w:val="left"/>
            </w:pPr>
            <w:r>
              <w:t xml:space="preserve">220.00</w:t>
            </w:r>
          </w:p>
        </w:tc>
        <w:tc>
          <w:tcPr/>
          <w:p>
            <w:pPr>
              <w:pStyle w:val="Compact"/>
              <w:jc w:val="left"/>
            </w:pPr>
            <w:r>
              <w:t xml:space="preserve">1,760.00</w:t>
            </w:r>
          </w:p>
        </w:tc>
      </w:tr>
      <w:tr>
        <w:tc>
          <w:tcPr/>
          <w:p>
            <w:pPr>
              <w:pStyle w:val="Compact"/>
              <w:jc w:val="left"/>
            </w:pPr>
            <w:r>
              <w:t xml:space="preserve">3</w:t>
            </w:r>
          </w:p>
        </w:tc>
        <w:tc>
          <w:tcPr/>
          <w:p>
            <w:pPr>
              <w:pStyle w:val="Compact"/>
              <w:jc w:val="left"/>
            </w:pPr>
            <w:r>
              <w:t xml:space="preserve">Drafting and filing of initial pleadings and legal memoranda</w:t>
            </w:r>
          </w:p>
        </w:tc>
        <w:tc>
          <w:tcPr/>
          <w:p>
            <w:pPr>
              <w:pStyle w:val="Compact"/>
              <w:jc w:val="left"/>
            </w:pPr>
            <w:r>
              <w:t xml:space="preserve">10</w:t>
            </w:r>
          </w:p>
        </w:tc>
        <w:tc>
          <w:tcPr/>
          <w:p>
            <w:pPr>
              <w:pStyle w:val="Compact"/>
              <w:jc w:val="left"/>
            </w:pPr>
            <w:r>
              <w:t xml:space="preserve">220.00</w:t>
            </w:r>
          </w:p>
        </w:tc>
        <w:tc>
          <w:tcPr/>
          <w:p>
            <w:pPr>
              <w:pStyle w:val="Compact"/>
              <w:jc w:val="left"/>
            </w:pPr>
            <w:r>
              <w:t xml:space="preserve">2,200.00</w:t>
            </w:r>
          </w:p>
        </w:tc>
      </w:tr>
      <w:tr>
        <w:tc>
          <w:tcPr/>
          <w:p>
            <w:pPr>
              <w:pStyle w:val="Compact"/>
              <w:jc w:val="left"/>
            </w:pPr>
            <w:r>
              <w:t xml:space="preserve">4</w:t>
            </w:r>
          </w:p>
        </w:tc>
        <w:tc>
          <w:tcPr/>
          <w:p>
            <w:pPr>
              <w:pStyle w:val="Compact"/>
              <w:jc w:val="left"/>
            </w:pPr>
            <w:r>
              <w:t xml:space="preserve">Court appearances before the Tribunal de Commerce de Marseille (estimated 3 hearings)</w:t>
            </w:r>
          </w:p>
        </w:tc>
        <w:tc>
          <w:tcPr/>
          <w:p>
            <w:pPr>
              <w:pStyle w:val="Compact"/>
              <w:jc w:val="left"/>
            </w:pPr>
            <w:r>
              <w:t xml:space="preserve">9</w:t>
            </w:r>
          </w:p>
        </w:tc>
        <w:tc>
          <w:tcPr/>
          <w:p>
            <w:pPr>
              <w:pStyle w:val="Compact"/>
              <w:jc w:val="left"/>
            </w:pPr>
            <w:r>
              <w:t xml:space="preserve">250.00</w:t>
            </w:r>
          </w:p>
        </w:tc>
        <w:tc>
          <w:tcPr/>
          <w:p>
            <w:pPr>
              <w:pStyle w:val="Compact"/>
              <w:jc w:val="left"/>
            </w:pPr>
            <w:r>
              <w:t xml:space="preserve">2,250.00</w:t>
            </w:r>
          </w:p>
        </w:tc>
      </w:tr>
      <w:tr>
        <w:tc>
          <w:tcPr/>
          <w:p>
            <w:pPr>
              <w:pStyle w:val="Compact"/>
              <w:jc w:val="left"/>
            </w:pPr>
            <w:r>
              <w:t xml:space="preserve">5</w:t>
            </w:r>
          </w:p>
        </w:tc>
        <w:tc>
          <w:tcPr/>
          <w:p>
            <w:pPr>
              <w:pStyle w:val="Compact"/>
              <w:jc w:val="left"/>
            </w:pPr>
            <w:r>
              <w:t xml:space="preserve">Settlement negotiation and mediation facilitation (if applicable)</w:t>
            </w:r>
          </w:p>
        </w:tc>
        <w:tc>
          <w:tcPr/>
          <w:p>
            <w:pPr>
              <w:pStyle w:val="Compact"/>
              <w:jc w:val="left"/>
            </w:pPr>
            <w:r>
              <w:t xml:space="preserve">5</w:t>
            </w:r>
          </w:p>
        </w:tc>
        <w:tc>
          <w:tcPr/>
          <w:p>
            <w:pPr>
              <w:pStyle w:val="Compact"/>
              <w:jc w:val="left"/>
            </w:pPr>
            <w:r>
              <w:t xml:space="preserve">220.00</w:t>
            </w:r>
          </w:p>
        </w:tc>
        <w:tc>
          <w:tcPr/>
          <w:p>
            <w:pPr>
              <w:pStyle w:val="Compact"/>
              <w:jc w:val="left"/>
            </w:pPr>
            <w:r>
              <w:t xml:space="preserve">1,100.00</w:t>
            </w:r>
          </w:p>
        </w:tc>
      </w:tr>
      <w:tr>
        <w:tc>
          <w:tcPr/>
          <w:p>
            <w:pPr>
              <w:pStyle w:val="Compact"/>
              <w:jc w:val="left"/>
            </w:pPr>
            <w:r>
              <w:t xml:space="preserve">6</w:t>
            </w:r>
          </w:p>
        </w:tc>
        <w:tc>
          <w:tcPr/>
          <w:p>
            <w:pPr>
              <w:pStyle w:val="Compact"/>
              <w:jc w:val="left"/>
            </w:pPr>
            <w:r>
              <w:t xml:space="preserve">Post-judgment enforcement and coordination with bailiff services</w:t>
            </w:r>
          </w:p>
        </w:tc>
        <w:tc>
          <w:tcPr/>
          <w:p>
            <w:pPr>
              <w:pStyle w:val="Compact"/>
              <w:jc w:val="left"/>
            </w:pPr>
            <w:r>
              <w:t xml:space="preserve">4</w:t>
            </w:r>
          </w:p>
        </w:tc>
        <w:tc>
          <w:tcPr/>
          <w:p>
            <w:pPr>
              <w:pStyle w:val="Compact"/>
              <w:jc w:val="left"/>
            </w:pPr>
            <w:r>
              <w:t xml:space="preserve">220.00</w:t>
            </w:r>
          </w:p>
        </w:tc>
        <w:tc>
          <w:tcPr/>
          <w:p>
            <w:pPr>
              <w:pStyle w:val="Compact"/>
              <w:jc w:val="left"/>
            </w:pPr>
            <w:r>
              <w:t xml:space="preserve">880.00</w:t>
            </w:r>
          </w:p>
        </w:tc>
      </w:tr>
      <w:tr>
        <w:tc>
          <w:tcPr/>
          <w:p>
            <w:pPr>
              <w:pStyle w:val="Compact"/>
              <w:jc w:val="left"/>
            </w:pPr>
            <w:r>
              <w:t xml:space="preserve">7</w:t>
            </w:r>
          </w:p>
        </w:tc>
        <w:tc>
          <w:tcPr/>
          <w:p>
            <w:pPr>
              <w:pStyle w:val="Compact"/>
              <w:jc w:val="left"/>
            </w:pPr>
            <w:r>
              <w:t xml:space="preserve">General legal advisory and client consultations (up to 10 hours)</w:t>
            </w:r>
          </w:p>
        </w:tc>
        <w:tc>
          <w:tcPr/>
          <w:p>
            <w:pPr>
              <w:pStyle w:val="Compact"/>
              <w:jc w:val="left"/>
            </w:pPr>
            <w:r>
              <w:t xml:space="preserve">10</w:t>
            </w:r>
          </w:p>
        </w:tc>
        <w:tc>
          <w:tcPr/>
          <w:p>
            <w:pPr>
              <w:pStyle w:val="Compact"/>
              <w:jc w:val="left"/>
            </w:pPr>
            <w:r>
              <w:t xml:space="preserve">180.00</w:t>
            </w:r>
          </w:p>
        </w:tc>
        <w:tc>
          <w:tcPr/>
          <w:p>
            <w:pPr>
              <w:pStyle w:val="Compact"/>
              <w:jc w:val="left"/>
            </w:pPr>
            <w:r>
              <w:t xml:space="preserve">1,800.00</w:t>
            </w:r>
          </w:p>
        </w:tc>
      </w:tr>
      <w:tr>
        <w:tc>
          <w:tcPr/>
          <w:p>
            <w:pPr>
              <w:pStyle w:val="Compact"/>
              <w:jc w:val="left"/>
            </w:pPr>
            <w:r>
              <w:t xml:space="preserve">8</w:t>
            </w:r>
          </w:p>
        </w:tc>
        <w:tc>
          <w:tcPr/>
          <w:p>
            <w:pPr>
              <w:pStyle w:val="Compact"/>
              <w:jc w:val="left"/>
            </w:pPr>
            <w:r>
              <w:t xml:space="preserve">Court filing fees, registration costs, and administrative expenses (Tribunal de Commerce de Marseille)</w:t>
            </w:r>
          </w:p>
        </w:tc>
        <w:tc>
          <w:tcPr/>
          <w:p>
            <w:pPr>
              <w:pStyle w:val="Compact"/>
              <w:jc w:val="left"/>
            </w:pPr>
            <w:r>
              <w:t xml:space="preserve">—</w:t>
            </w:r>
          </w:p>
        </w:tc>
        <w:tc>
          <w:tcPr/>
          <w:p>
            <w:pPr>
              <w:pStyle w:val="Compact"/>
              <w:jc w:val="left"/>
            </w:pPr>
            <w:r>
              <w:t xml:space="preserve">—</w:t>
            </w:r>
          </w:p>
        </w:tc>
        <w:tc>
          <w:tcPr/>
          <w:p>
            <w:pPr>
              <w:pStyle w:val="Compact"/>
              <w:jc w:val="left"/>
            </w:pPr>
            <w:r>
              <w:t xml:space="preserve">450.00</w:t>
            </w:r>
          </w:p>
        </w:tc>
      </w:tr>
      <w:tr>
        <w:tc>
          <w:tcPr/>
          <w:p>
            <w:pPr>
              <w:pStyle w:val="Compact"/>
              <w:jc w:val="left"/>
            </w:pPr>
            <w:r>
              <w:t xml:space="preserve">9</w:t>
            </w:r>
          </w:p>
        </w:tc>
        <w:tc>
          <w:tcPr/>
          <w:p>
            <w:pPr>
              <w:pStyle w:val="Compact"/>
              <w:jc w:val="left"/>
            </w:pPr>
            <w:r>
              <w:t xml:space="preserve">Expert witness fees (commercial accountant, if required by the court)</w:t>
            </w:r>
          </w:p>
        </w:tc>
        <w:tc>
          <w:tcPr/>
          <w:p>
            <w:pPr>
              <w:pStyle w:val="Compact"/>
              <w:jc w:val="left"/>
            </w:pPr>
            <w:r>
              <w:t xml:space="preserve">—</w:t>
            </w:r>
          </w:p>
        </w:tc>
        <w:tc>
          <w:tcPr/>
          <w:p>
            <w:pPr>
              <w:pStyle w:val="Compact"/>
              <w:jc w:val="left"/>
            </w:pPr>
            <w:r>
              <w:t xml:space="preserve">—</w:t>
            </w:r>
          </w:p>
        </w:tc>
        <w:tc>
          <w:tcPr/>
          <w:p>
            <w:pPr>
              <w:pStyle w:val="Compact"/>
              <w:jc w:val="left"/>
            </w:pPr>
            <w:r>
              <w:t xml:space="preserve">1,200.00</w:t>
            </w:r>
          </w:p>
        </w:tc>
      </w:tr>
      <w:tr>
        <w:tc>
          <w:tcPr>
            <w:gridSpan w:val="4"/>
          </w:tcPr>
          <w:p>
            <w:pPr>
              <w:pStyle w:val="Compact"/>
              <w:jc w:val="right"/>
            </w:pPr>
            <w:r>
              <w:t xml:space="preserve">Subtotal (excluding TVA)</w:t>
            </w:r>
          </w:p>
        </w:tc>
        <w:tc>
          <w:tcPr/>
          <w:p>
            <w:pPr>
              <w:pStyle w:val="Compact"/>
              <w:jc w:val="left"/>
            </w:pPr>
            <w:r>
              <w:t xml:space="preserve">12,960.00</w:t>
            </w:r>
          </w:p>
        </w:tc>
      </w:tr>
      <w:tr>
        <w:tc>
          <w:tcPr>
            <w:gridSpan w:val="4"/>
          </w:tcPr>
          <w:p>
            <w:pPr>
              <w:pStyle w:val="Compact"/>
              <w:jc w:val="right"/>
            </w:pPr>
            <w:r>
              <w:t xml:space="preserve">TVA (20%)</w:t>
            </w:r>
          </w:p>
        </w:tc>
        <w:tc>
          <w:tcPr/>
          <w:p>
            <w:pPr>
              <w:pStyle w:val="Compact"/>
              <w:jc w:val="left"/>
            </w:pPr>
            <w:r>
              <w:t xml:space="preserve">2,592.00</w:t>
            </w:r>
          </w:p>
        </w:tc>
      </w:tr>
      <w:tr>
        <w:tc>
          <w:tcPr>
            <w:gridSpan w:val="4"/>
          </w:tcPr>
          <w:p>
            <w:pPr>
              <w:pStyle w:val="Compact"/>
              <w:jc w:val="right"/>
            </w:pPr>
            <w:r>
              <w:t xml:space="preserve">TOTAL ESTIMATED COST (TTC)</w:t>
            </w:r>
          </w:p>
        </w:tc>
        <w:tc>
          <w:tcPr/>
          <w:p>
            <w:pPr>
              <w:pStyle w:val="Compact"/>
              <w:jc w:val="left"/>
            </w:pPr>
            <w:r>
              <w:t xml:space="preserve">15,552.00</w:t>
            </w:r>
          </w:p>
        </w:tc>
      </w:tr>
    </w:tbl>
    <w:bookmarkEnd w:id="23"/>
    <w:bookmarkStart w:id="24" w:name="payment-terms"/>
    <w:p>
      <w:pPr>
        <w:pStyle w:val="Heading2"/>
      </w:pPr>
      <w:r>
        <w:t xml:space="preserve">4. Payment Terms</w:t>
      </w:r>
    </w:p>
    <w:p>
      <w:pPr>
        <w:pStyle w:val="FirstParagraph"/>
      </w:pPr>
      <w:r>
        <w:t xml:space="preserve">In accordance with the standard practice of the Barreau de Marseille, the Lawyer requires an initial retainer fee (</w:t>
      </w:r>
      <w:r>
        <w:rPr>
          <w:iCs/>
          <w:i/>
        </w:rPr>
        <w:t xml:space="preserve">provision sur honoraires</w:t>
      </w:r>
      <w:r>
        <w:t xml:space="preserve">) of 30% of the total estimated amount, equivalent to €4,665.60 TTC, to be deposited into the firm's dedicated client account within fifteen (15) calendar days of acceptance of this Quotation Estimate. The remaining balance shall be invoiced in monthly installments based on actual hours worked, with a final settlement invoice issued upon conclusion of the matter. All payments shall be made by bank transfer to the account details provided in the accompanying invoice.</w:t>
      </w:r>
    </w:p>
    <w:bookmarkEnd w:id="24"/>
    <w:bookmarkStart w:id="25" w:name="validity-conditions"/>
    <w:p>
      <w:pPr>
        <w:pStyle w:val="Heading2"/>
      </w:pPr>
      <w:r>
        <w:t xml:space="preserve">5. Validity &amp; Conditions</w:t>
      </w:r>
    </w:p>
    <w:p>
      <w:pPr>
        <w:pStyle w:val="FirstParagraph"/>
      </w:pPr>
      <w:r>
        <w:t xml:space="preserve">This Quotation Estimate is valid for a period of sixty (60) days from the date of issue, i.e., until 13 August 2025. The fees outlined herein are estimates based on the current scope of work and the anticipated complexity of the matter before the courts in Marseille, France. Should the scope of legal services expand beyond what is described in this document, the Lawyer will issue a supplementary Quotation Estimate for the client's written approval before proceeding with additional work.</w:t>
      </w:r>
    </w:p>
    <w:p>
      <w:pPr>
        <w:pStyle w:val="BodyText"/>
      </w:pPr>
      <w:r>
        <w:t xml:space="preserve">The Lawyer reserves the right to adjust the hourly rates in accordance with any changes to the fee regulations published by the Barreau de Marseille or the national Bar Council (</w:t>
      </w:r>
      <w:r>
        <w:rPr>
          <w:iCs/>
          <w:i/>
        </w:rPr>
        <w:t xml:space="preserve">Conseil National des Barreaux</w:t>
      </w:r>
      <w:r>
        <w:t xml:space="preserve">). This Quotation Estimate does not constitute a guarantee of outcome. The Lawyer will exercise all professional diligence in representing the client's interests in France Marseille and throughout the Bouches-du-Rhône jurisdiction, but no specific result can be assured in litigation.</w:t>
      </w:r>
    </w:p>
    <w:bookmarkEnd w:id="25"/>
    <w:bookmarkStart w:id="26" w:name="acceptance"/>
    <w:p>
      <w:pPr>
        <w:pStyle w:val="Heading2"/>
      </w:pPr>
      <w:r>
        <w:t xml:space="preserve">6. Acceptance</w:t>
      </w:r>
    </w:p>
    <w:p>
      <w:pPr>
        <w:pStyle w:val="FirstParagraph"/>
      </w:pPr>
      <w:r>
        <w:t xml:space="preserve">By signing below, the client acknowledges receipt of this Quotation Estimate, confirms understanding of the scope of services, the fee structure, and the payment terms, and authorizes the Lawyer to commence the legal proceedings described herein. This acceptance constitutes a binding engagement contract between the parties under French civil law.</w:t>
      </w:r>
    </w:p>
    <w:p>
      <w:pPr>
        <w:pStyle w:val="BodyText"/>
      </w:pPr>
      <w:r>
        <w:rPr>
          <w:bCs/>
          <w:b/>
        </w:rPr>
        <w:t xml:space="preserve">For the Lawyer / Firm:</w:t>
      </w:r>
    </w:p>
    <w:p>
      <w:pPr>
        <w:pStyle w:val="BodyText"/>
      </w:pPr>
      <w:r>
        <w:t xml:space="preserve">Me. Laurent Delacroix</w:t>
      </w:r>
      <w:r>
        <w:br/>
      </w:r>
      <w:r>
        <w:t xml:space="preserve">Avocat au Barreau de Marseille</w:t>
      </w:r>
      <w:r>
        <w:br/>
      </w:r>
      <w:r>
        <w:t xml:space="preserve">France Marseille, 13006</w:t>
      </w:r>
    </w:p>
    <w:p>
      <w:pPr>
        <w:pStyle w:val="BodyText"/>
      </w:pPr>
      <w:r>
        <w:t xml:space="preserve">Signature &amp; Date</w:t>
      </w:r>
    </w:p>
    <w:p>
      <w:pPr>
        <w:pStyle w:val="BodyText"/>
      </w:pPr>
      <w:r>
        <w:rPr>
          <w:bCs/>
          <w:b/>
        </w:rPr>
        <w:t xml:space="preserve">For the Client:</w:t>
      </w:r>
    </w:p>
    <w:p>
      <w:pPr>
        <w:pStyle w:val="BodyText"/>
      </w:pPr>
      <w:r>
        <w:t xml:space="preserve">M. Jean-Pierre Moreau</w:t>
      </w:r>
      <w:r>
        <w:br/>
      </w:r>
      <w:r>
        <w:t xml:space="preserve">14 Chemin des Oliviers</w:t>
      </w:r>
      <w:r>
        <w:br/>
      </w:r>
      <w:r>
        <w:t xml:space="preserve">13008 Marseille, France</w:t>
      </w:r>
    </w:p>
    <w:p>
      <w:pPr>
        <w:pStyle w:val="BodyText"/>
      </w:pPr>
      <w:r>
        <w:t xml:space="preserve">Signature &amp; Date</w:t>
      </w:r>
    </w:p>
    <w:p>
      <w:pPr>
        <w:pStyle w:val="BodyText"/>
      </w:pPr>
      <w:r>
        <w:t xml:space="preserve">This Quotation Estimate was prepared by Me. Laurent Delacroix &amp; Associés, Avocats, registered at the Barreau de Marseille, France.</w:t>
      </w:r>
      <w:r>
        <w:t xml:space="preserve"> </w:t>
      </w:r>
      <w:r>
        <w:t xml:space="preserve"> |  Document Ref: QTE-2025-MRS-0472  |  Page 1 of 1</w:t>
      </w:r>
      <w:r>
        <w:br/>
      </w:r>
      <w:r>
        <w:t xml:space="preserve">© 2025 Delacroix &amp; Associés — All rights reserved. This document is confidential and intended solely for the named client.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Legal Services - Marseille, France</dc:title>
  <dc:creator/>
  <dc:language>en</dc:language>
  <cp:keywords/>
  <dcterms:created xsi:type="dcterms:W3CDTF">2026-10-10T06:56:28Z</dcterms:created>
  <dcterms:modified xsi:type="dcterms:W3CDTF">2026-10-10T06:56:28Z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