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quotation-estimate"/>
    <w:p>
      <w:pPr>
        <w:pStyle w:val="Heading1"/>
      </w:pPr>
      <w:r>
        <w:t xml:space="preserve">QUOTATION ESTIMATE</w:t>
      </w:r>
    </w:p>
    <w:p>
      <w:pPr>
        <w:pStyle w:val="FirstParagraph"/>
      </w:pPr>
      <w:r>
        <w:t xml:space="preserve">Legal Services – Attorney at Law – Berlin, Germany</w:t>
      </w:r>
    </w:p>
    <w:p>
      <w:pPr>
        <w:pStyle w:val="BodyText"/>
      </w:pPr>
      <w:r>
        <w:t xml:space="preserve">Document Reference: QE-BER-2025-04712 | Issued under the German Lawyers' Fee Act (RVG)</w:t>
      </w:r>
    </w:p>
    <w:bookmarkEnd w:id="20"/>
    <w:bookmarkStart w:id="21" w:name="law-firm-provider"/>
    <w:p>
      <w:pPr>
        <w:pStyle w:val="Heading3"/>
      </w:pPr>
      <w:r>
        <w:t xml:space="preserve">Law Firm (Provider)</w:t>
      </w:r>
    </w:p>
    <w:p>
      <w:pPr>
        <w:pStyle w:val="FirstParagraph"/>
      </w:pPr>
      <w:r>
        <w:rPr>
          <w:bCs/>
          <w:b/>
        </w:rPr>
        <w:t xml:space="preserve">Dr. Katharina Vogel &amp; Partner Rechtsanwälte</w:t>
      </w:r>
    </w:p>
    <w:p>
      <w:pPr>
        <w:pStyle w:val="BodyText"/>
      </w:pPr>
      <w:r>
        <w:t xml:space="preserve">Unter den Linden 42, 10117 Berlin, Germany</w:t>
      </w:r>
    </w:p>
    <w:p>
      <w:pPr>
        <w:pStyle w:val="BodyText"/>
      </w:pPr>
      <w:r>
        <w:t xml:space="preserve">Phone: +49 (0)30 555 88210</w:t>
      </w:r>
    </w:p>
    <w:p>
      <w:pPr>
        <w:pStyle w:val="BodyText"/>
      </w:pPr>
      <w:r>
        <w:t xml:space="preserve">Email: intake@vogel-partner-berlin.de</w:t>
      </w:r>
    </w:p>
    <w:p>
      <w:pPr>
        <w:pStyle w:val="BodyText"/>
      </w:pPr>
      <w:r>
        <w:t xml:space="preserve">Bar Registration: Rechtsanwaltskammer Berlin, Nr. 14-88231</w:t>
      </w:r>
    </w:p>
    <w:p>
      <w:pPr>
        <w:pStyle w:val="BodyText"/>
      </w:pPr>
      <w:r>
        <w:t xml:space="preserve">VAT ID (USt-IdNr.): DE 312 445 678</w:t>
      </w:r>
    </w:p>
    <w:bookmarkEnd w:id="21"/>
    <w:bookmarkStart w:id="22" w:name="client-recipient"/>
    <w:p>
      <w:pPr>
        <w:pStyle w:val="Heading3"/>
      </w:pPr>
      <w:r>
        <w:t xml:space="preserve">Client (Recipient)</w:t>
      </w:r>
    </w:p>
    <w:p>
      <w:pPr>
        <w:pStyle w:val="FirstParagraph"/>
      </w:pPr>
      <w:r>
        <w:rPr>
          <w:bCs/>
          <w:b/>
        </w:rPr>
        <w:t xml:space="preserve">Mr. Jonathan A. Whitfield</w:t>
      </w:r>
    </w:p>
    <w:p>
      <w:pPr>
        <w:pStyle w:val="BodyText"/>
      </w:pPr>
      <w:r>
        <w:t xml:space="preserve">Frankfurter Allee 18, 10247 Berlin, Germany</w:t>
      </w:r>
    </w:p>
    <w:p>
      <w:pPr>
        <w:pStyle w:val="BodyText"/>
      </w:pPr>
      <w:r>
        <w:t xml:space="preserve">Phone: +49 (0)171 234 5678</w:t>
      </w:r>
    </w:p>
    <w:p>
      <w:pPr>
        <w:pStyle w:val="BodyText"/>
      </w:pPr>
      <w:r>
        <w:t xml:space="preserve">Email: j.whitfield@email.de</w:t>
      </w:r>
    </w:p>
    <w:p>
      <w:pPr>
        <w:pStyle w:val="BodyText"/>
      </w:pPr>
      <w:r>
        <w:t xml:space="preserve">Client File No.: CF-2025-0093</w:t>
      </w:r>
    </w:p>
    <w:bookmarkEnd w:id="22"/>
    <w:p>
      <w:pPr>
        <w:pStyle w:val="BodyText"/>
      </w:pPr>
      <w:r>
        <w:rPr>
          <w:bCs/>
          <w:b/>
        </w:rPr>
        <w:t xml:space="preserve">Date of Issue:</w:t>
      </w:r>
      <w:r>
        <w:t xml:space="preserve"> </w:t>
      </w:r>
      <w:r>
        <w:t xml:space="preserve">14 June 2025</w:t>
      </w:r>
    </w:p>
    <w:p>
      <w:pPr>
        <w:pStyle w:val="BodyText"/>
      </w:pPr>
      <w:r>
        <w:rPr>
          <w:bCs/>
          <w:b/>
        </w:rPr>
        <w:t xml:space="preserve">Quotation Validity:</w:t>
      </w:r>
      <w:r>
        <w:t xml:space="preserve"> </w:t>
      </w:r>
      <w:r>
        <w:t xml:space="preserve">30 calendar days from the date of issue (expires 14 July 2025)</w:t>
      </w:r>
    </w:p>
    <w:p>
      <w:pPr>
        <w:pStyle w:val="BodyText"/>
      </w:pPr>
      <w:r>
        <w:rPr>
          <w:bCs/>
          <w:b/>
        </w:rPr>
        <w:t xml:space="preserve">Jurisdiction:</w:t>
      </w:r>
      <w:r>
        <w:t xml:space="preserve"> </w:t>
      </w:r>
      <w:r>
        <w:t xml:space="preserve">Federal Republic of Germany – State of Berlin (Land Berlin)</w:t>
      </w:r>
    </w:p>
    <w:p>
      <w:pPr>
        <w:pStyle w:val="BodyText"/>
      </w:pPr>
      <w:r>
        <w:rPr>
          <w:bCs/>
          <w:b/>
        </w:rPr>
        <w:t xml:space="preserve">Governing Law:</w:t>
      </w:r>
      <w:r>
        <w:t xml:space="preserve"> </w:t>
      </w:r>
      <w:r>
        <w:t xml:space="preserve">German Civil Code (BGB), German Lawyers' Fee Act (Rechtsanwaltsvergütungsgesetz – RVG), Federal Lawyers' Act (Bundesrechtsanwaltsordnung – BRAO)</w:t>
      </w:r>
    </w:p>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Lawyer</w:t>
      </w:r>
      <w:r>
        <w:t xml:space="preserve"> </w:t>
      </w:r>
      <w:r>
        <w:t xml:space="preserve">and legal team of Dr. Katharina Vogel &amp; Partner Rechtsanwälte, a registered law firm practising in</w:t>
      </w:r>
      <w:r>
        <w:t xml:space="preserve"> </w:t>
      </w:r>
      <w:r>
        <w:t xml:space="preserve">Germany Berlin</w:t>
      </w:r>
      <w:r>
        <w:t xml:space="preserve">, in accordance with the professional obligations set forth in the Federal Lawyers' Act (BRAO) and the German Lawyers' Fee Act (RVG). The purpose of this document is to provide the client with a transparent, itemised, and binding cost estimate for the legal services to be rendered in connection with the matter described below. All fees quoted herein are calculated in accordance with the statutory fee schedule (Vergütungsverzeichnis – VV RVG) applicable in the jurisdiction of Berlin, Germany, and reflect the current professional standards of the Berlin Bar Association (Rechtsanwaltskammer Berlin).</w:t>
      </w:r>
    </w:p>
    <w:bookmarkEnd w:id="23"/>
    <w:bookmarkStart w:id="24" w:name="description-of-legal-matter"/>
    <w:p>
      <w:pPr>
        <w:pStyle w:val="Heading2"/>
      </w:pPr>
      <w:r>
        <w:t xml:space="preserve">2. Description of Legal Matter</w:t>
      </w:r>
    </w:p>
    <w:p>
      <w:pPr>
        <w:pStyle w:val="FirstParagraph"/>
      </w:pPr>
      <w:r>
        <w:t xml:space="preserve">The</w:t>
      </w:r>
      <w:r>
        <w:t xml:space="preserve"> </w:t>
      </w:r>
      <w:r>
        <w:t xml:space="preserve">Lawyer</w:t>
      </w:r>
      <w:r>
        <w:t xml:space="preserve"> </w:t>
      </w:r>
      <w:r>
        <w:t xml:space="preserve">has been retained to represent the client in a commercial contract dispute before the Local Court (Amtsgericht) and, if necessary, the Regional Court (Landgericht) in Berlin, Germany. The matter involves a breach of a supply agreement dated 12 March 2025, with a disputed value (Streitwert) of €185,000.00. The scope of representation includes pre-litigation negotiation, drafting and filing of the statement of claim (Klageschrift), preparation for and attendance at all court hearings, and post-judgment enforcement proceedings if applicable.</w:t>
      </w:r>
    </w:p>
    <w:bookmarkEnd w:id="24"/>
    <w:bookmarkStart w:id="25" w:name="itemised-fee-breakdown"/>
    <w:p>
      <w:pPr>
        <w:pStyle w:val="Heading2"/>
      </w:pPr>
      <w:r>
        <w:t xml:space="preserve">3. Itemised Fee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RVG Paragraph</w:t>
            </w:r>
          </w:p>
        </w:tc>
        <w:tc>
          <w:tcPr/>
          <w:p>
            <w:pPr>
              <w:pStyle w:val="Compact"/>
              <w:jc w:val="left"/>
            </w:pPr>
            <w:r>
              <w:t xml:space="preserve">Fee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consultation and case assessment (first 60 minutes)</w:t>
            </w:r>
          </w:p>
        </w:tc>
        <w:tc>
          <w:tcPr/>
          <w:p>
            <w:pPr>
              <w:pStyle w:val="Compact"/>
              <w:jc w:val="left"/>
            </w:pPr>
            <w:r>
              <w:t xml:space="preserve">§ 2 VV RVG</w:t>
            </w:r>
          </w:p>
        </w:tc>
        <w:tc>
          <w:tcPr/>
          <w:p>
            <w:pPr>
              <w:pStyle w:val="Compact"/>
              <w:jc w:val="left"/>
            </w:pPr>
            <w:r>
              <w:t xml:space="preserve">€ 320.00</w:t>
            </w:r>
          </w:p>
        </w:tc>
        <w:tc>
          <w:tcPr/>
          <w:p>
            <w:pPr>
              <w:pStyle w:val="Compact"/>
              <w:jc w:val="left"/>
            </w:pPr>
            <w:r>
              <w:t xml:space="preserve">One-time fee, non-refundable</w:t>
            </w:r>
          </w:p>
        </w:tc>
      </w:tr>
      <w:tr>
        <w:tc>
          <w:tcPr/>
          <w:p>
            <w:pPr>
              <w:pStyle w:val="Compact"/>
              <w:jc w:val="left"/>
            </w:pPr>
            <w:r>
              <w:t xml:space="preserve">2</w:t>
            </w:r>
          </w:p>
        </w:tc>
        <w:tc>
          <w:tcPr/>
          <w:p>
            <w:pPr>
              <w:pStyle w:val="Compact"/>
              <w:jc w:val="left"/>
            </w:pPr>
            <w:r>
              <w:t xml:space="preserve">Pre-litigation demand letter and negotiation (up to 3 rounds)</w:t>
            </w:r>
          </w:p>
        </w:tc>
        <w:tc>
          <w:tcPr/>
          <w:p>
            <w:pPr>
              <w:pStyle w:val="Compact"/>
              <w:jc w:val="left"/>
            </w:pPr>
            <w:r>
              <w:t xml:space="preserve">§ 1001 VV RVG</w:t>
            </w:r>
          </w:p>
        </w:tc>
        <w:tc>
          <w:tcPr/>
          <w:p>
            <w:pPr>
              <w:pStyle w:val="Compact"/>
              <w:jc w:val="left"/>
            </w:pPr>
            <w:r>
              <w:t xml:space="preserve">€ 1,850.00</w:t>
            </w:r>
          </w:p>
        </w:tc>
        <w:tc>
          <w:tcPr/>
          <w:p>
            <w:pPr>
              <w:pStyle w:val="Compact"/>
              <w:jc w:val="left"/>
            </w:pPr>
            <w:r>
              <w:t xml:space="preserve">Based on Streitwert €185,000</w:t>
            </w:r>
          </w:p>
        </w:tc>
      </w:tr>
      <w:tr>
        <w:tc>
          <w:tcPr/>
          <w:p>
            <w:pPr>
              <w:pStyle w:val="Compact"/>
              <w:jc w:val="left"/>
            </w:pPr>
            <w:r>
              <w:t xml:space="preserve">3</w:t>
            </w:r>
          </w:p>
        </w:tc>
        <w:tc>
          <w:tcPr/>
          <w:p>
            <w:pPr>
              <w:pStyle w:val="Compact"/>
              <w:jc w:val="left"/>
            </w:pPr>
            <w:r>
              <w:t xml:space="preserve">Drafting and filing of statement of claim (Klageschrift)</w:t>
            </w:r>
          </w:p>
        </w:tc>
        <w:tc>
          <w:tcPr/>
          <w:p>
            <w:pPr>
              <w:pStyle w:val="Compact"/>
              <w:jc w:val="left"/>
            </w:pPr>
            <w:r>
              <w:t xml:space="preserve">§ 1004 VV RVG</w:t>
            </w:r>
          </w:p>
        </w:tc>
        <w:tc>
          <w:tcPr/>
          <w:p>
            <w:pPr>
              <w:pStyle w:val="Compact"/>
              <w:jc w:val="left"/>
            </w:pPr>
            <w:r>
              <w:t xml:space="preserve">€ 2,775.00</w:t>
            </w:r>
          </w:p>
        </w:tc>
        <w:tc>
          <w:tcPr/>
          <w:p>
            <w:pPr>
              <w:pStyle w:val="Compact"/>
              <w:jc w:val="left"/>
            </w:pPr>
            <w:r>
              <w:t xml:space="preserve">Includes court filing fee (Gerichtskosten) of €1,125.00</w:t>
            </w:r>
          </w:p>
        </w:tc>
      </w:tr>
      <w:tr>
        <w:tc>
          <w:tcPr/>
          <w:p>
            <w:pPr>
              <w:pStyle w:val="Compact"/>
              <w:jc w:val="left"/>
            </w:pPr>
            <w:r>
              <w:t xml:space="preserve">4</w:t>
            </w:r>
          </w:p>
        </w:tc>
        <w:tc>
          <w:tcPr/>
          <w:p>
            <w:pPr>
              <w:pStyle w:val="Compact"/>
              <w:jc w:val="left"/>
            </w:pPr>
            <w:r>
              <w:t xml:space="preserve">Court representation – first instance (up to 4 hearings)</w:t>
            </w:r>
          </w:p>
        </w:tc>
        <w:tc>
          <w:tcPr/>
          <w:p>
            <w:pPr>
              <w:pStyle w:val="Compact"/>
              <w:jc w:val="left"/>
            </w:pPr>
            <w:r>
              <w:t xml:space="preserve">§ 1004 VV RVG</w:t>
            </w:r>
          </w:p>
        </w:tc>
        <w:tc>
          <w:tcPr/>
          <w:p>
            <w:pPr>
              <w:pStyle w:val="Compact"/>
              <w:jc w:val="left"/>
            </w:pPr>
            <w:r>
              <w:t xml:space="preserve">€ 2,775.00</w:t>
            </w:r>
          </w:p>
        </w:tc>
        <w:tc>
          <w:tcPr/>
          <w:p>
            <w:pPr>
              <w:pStyle w:val="Compact"/>
              <w:jc w:val="left"/>
            </w:pPr>
            <w:r>
              <w:t xml:space="preserve">Per hearing; additional hearings billed separately</w:t>
            </w:r>
          </w:p>
        </w:tc>
      </w:tr>
      <w:tr>
        <w:tc>
          <w:tcPr/>
          <w:p>
            <w:pPr>
              <w:pStyle w:val="Compact"/>
              <w:jc w:val="left"/>
            </w:pPr>
            <w:r>
              <w:t xml:space="preserve">5</w:t>
            </w:r>
          </w:p>
        </w:tc>
        <w:tc>
          <w:tcPr/>
          <w:p>
            <w:pPr>
              <w:pStyle w:val="Compact"/>
              <w:jc w:val="left"/>
            </w:pPr>
            <w:r>
              <w:t xml:space="preserve">Preparation of legal memorandum and evidence compilation</w:t>
            </w:r>
          </w:p>
        </w:tc>
        <w:tc>
          <w:tcPr/>
          <w:p>
            <w:pPr>
              <w:pStyle w:val="Compact"/>
              <w:jc w:val="left"/>
            </w:pPr>
            <w:r>
              <w:t xml:space="preserve">§ 1002 VV RVG</w:t>
            </w:r>
          </w:p>
        </w:tc>
        <w:tc>
          <w:tcPr/>
          <w:p>
            <w:pPr>
              <w:pStyle w:val="Compact"/>
              <w:jc w:val="left"/>
            </w:pPr>
            <w:r>
              <w:t xml:space="preserve">€ 1,850.00</w:t>
            </w:r>
          </w:p>
        </w:tc>
        <w:tc>
          <w:tcPr/>
          <w:p>
            <w:pPr>
              <w:pStyle w:val="Compact"/>
              <w:jc w:val="left"/>
            </w:pPr>
            <w:r>
              <w:t xml:space="preserve">Includes expert report review</w:t>
            </w:r>
          </w:p>
        </w:tc>
      </w:tr>
      <w:tr>
        <w:tc>
          <w:tcPr/>
          <w:p>
            <w:pPr>
              <w:pStyle w:val="Compact"/>
              <w:jc w:val="left"/>
            </w:pPr>
            <w:r>
              <w:t xml:space="preserve">6</w:t>
            </w:r>
          </w:p>
        </w:tc>
        <w:tc>
          <w:tcPr/>
          <w:p>
            <w:pPr>
              <w:pStyle w:val="Compact"/>
              <w:jc w:val="left"/>
            </w:pPr>
            <w:r>
              <w:t xml:space="preserve">Post-judgment enforcement (if applicable)</w:t>
            </w:r>
          </w:p>
        </w:tc>
        <w:tc>
          <w:tcPr/>
          <w:p>
            <w:pPr>
              <w:pStyle w:val="Compact"/>
              <w:jc w:val="left"/>
            </w:pPr>
            <w:r>
              <w:t xml:space="preserve">§ 1004 VV RVG</w:t>
            </w:r>
          </w:p>
        </w:tc>
        <w:tc>
          <w:tcPr/>
          <w:p>
            <w:pPr>
              <w:pStyle w:val="Compact"/>
              <w:jc w:val="left"/>
            </w:pPr>
            <w:r>
              <w:t xml:space="preserve">€ 2,775.00</w:t>
            </w:r>
          </w:p>
        </w:tc>
        <w:tc>
          <w:tcPr/>
          <w:p>
            <w:pPr>
              <w:pStyle w:val="Compact"/>
              <w:jc w:val="left"/>
            </w:pPr>
            <w:r>
              <w:t xml:space="preserve">Contingent on adverse judgment</w:t>
            </w:r>
          </w:p>
        </w:tc>
      </w:tr>
      <w:tr>
        <w:tc>
          <w:tcPr/>
          <w:p>
            <w:pPr>
              <w:pStyle w:val="Compact"/>
              <w:jc w:val="left"/>
            </w:pPr>
            <w:r>
              <w:t xml:space="preserve">7</w:t>
            </w:r>
          </w:p>
        </w:tc>
        <w:tc>
          <w:tcPr/>
          <w:p>
            <w:pPr>
              <w:pStyle w:val="Compact"/>
              <w:jc w:val="left"/>
            </w:pPr>
            <w:r>
              <w:t xml:space="preserve">Out-of-pocket expenses (travel, postage, court fees, translations)</w:t>
            </w:r>
          </w:p>
        </w:tc>
        <w:tc>
          <w:tcPr/>
          <w:p>
            <w:pPr>
              <w:pStyle w:val="Compact"/>
              <w:jc w:val="left"/>
            </w:pPr>
            <w:r>
              <w:t xml:space="preserve">§ 707 VV RVG</w:t>
            </w:r>
          </w:p>
        </w:tc>
        <w:tc>
          <w:tcPr/>
          <w:p>
            <w:pPr>
              <w:pStyle w:val="Compact"/>
              <w:jc w:val="left"/>
            </w:pPr>
            <w:r>
              <w:t xml:space="preserve">€ 450.00</w:t>
            </w:r>
          </w:p>
        </w:tc>
        <w:tc>
          <w:tcPr/>
          <w:p>
            <w:pPr>
              <w:pStyle w:val="Compact"/>
              <w:jc w:val="left"/>
            </w:pPr>
            <w:r>
              <w:t xml:space="preserve">Estimated; actuals billed at cost</w:t>
            </w:r>
          </w:p>
        </w:tc>
      </w:tr>
      <w:tr>
        <w:tc>
          <w:tcPr>
            <w:gridSpan w:val="3"/>
          </w:tcPr>
          <w:p>
            <w:pPr>
              <w:pStyle w:val="Compact"/>
              <w:jc w:val="left"/>
            </w:pPr>
            <w:r>
              <w:t xml:space="preserve">Subtotal (excl. VAT)</w:t>
            </w:r>
          </w:p>
        </w:tc>
        <w:tc>
          <w:tcPr/>
          <w:p>
            <w:pPr>
              <w:pStyle w:val="Compact"/>
              <w:jc w:val="left"/>
            </w:pPr>
            <w:r>
              <w:t xml:space="preserve">€ 12,795.00</w:t>
            </w:r>
          </w:p>
        </w:tc>
        <w:tc>
          <w:tcPr/>
          <w:p>
            <w:pPr>
              <w:pStyle w:val="Compact"/>
            </w:pPr>
          </w:p>
        </w:tc>
      </w:tr>
      <w:tr>
        <w:tc>
          <w:tcPr>
            <w:gridSpan w:val="3"/>
          </w:tcPr>
          <w:p>
            <w:pPr>
              <w:pStyle w:val="Compact"/>
              <w:jc w:val="left"/>
            </w:pPr>
            <w:r>
              <w:t xml:space="preserve">VAT (19% – Umsatzsteuer)</w:t>
            </w:r>
          </w:p>
        </w:tc>
        <w:tc>
          <w:tcPr/>
          <w:p>
            <w:pPr>
              <w:pStyle w:val="Compact"/>
              <w:jc w:val="left"/>
            </w:pPr>
            <w:r>
              <w:t xml:space="preserve">€ 2,431.05</w:t>
            </w:r>
          </w:p>
        </w:tc>
        <w:tc>
          <w:tcPr/>
          <w:p>
            <w:pPr>
              <w:pStyle w:val="Compact"/>
              <w:jc w:val="left"/>
            </w:pPr>
            <w:r>
              <w:t xml:space="preserve">As per German VAT Act (UStG)</w:t>
            </w:r>
          </w:p>
        </w:tc>
      </w:tr>
      <w:tr>
        <w:tc>
          <w:tcPr>
            <w:gridSpan w:val="3"/>
          </w:tcPr>
          <w:p>
            <w:pPr>
              <w:pStyle w:val="Compact"/>
              <w:jc w:val="left"/>
            </w:pPr>
            <w:r>
              <w:t xml:space="preserve">TOTAL ESTIMATED FEE</w:t>
            </w:r>
          </w:p>
        </w:tc>
        <w:tc>
          <w:tcPr/>
          <w:p>
            <w:pPr>
              <w:pStyle w:val="Compact"/>
              <w:jc w:val="left"/>
            </w:pPr>
            <w:r>
              <w:t xml:space="preserve">€ 15,226.05</w:t>
            </w:r>
          </w:p>
        </w:tc>
        <w:tc>
          <w:tcPr/>
          <w:p>
            <w:pPr>
              <w:pStyle w:val="Compact"/>
              <w:jc w:val="left"/>
            </w:pPr>
            <w:r>
              <w:t xml:space="preserve">Binding within validity period</w:t>
            </w: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rPr>
          <w:bCs/>
          <w:b/>
        </w:rPr>
        <w:t xml:space="preserve">Binding Nature:</w:t>
      </w:r>
      <w:r>
        <w:t xml:space="preserve"> </w:t>
      </w:r>
      <w:r>
        <w:t xml:space="preserve">This Quotation Estimate constitutes a binding offer by the Lawyer for the legal services described herein. Acceptance by the client shall be deemed to form a binding attorney-client engagement agreement governed by the laws of Germany, specifically the state of Berlin.</w:t>
      </w:r>
    </w:p>
    <w:p>
      <w:pPr>
        <w:numPr>
          <w:ilvl w:val="0"/>
          <w:numId w:val="1001"/>
        </w:numPr>
        <w:pStyle w:val="Compact"/>
      </w:pPr>
      <w:r>
        <w:rPr>
          <w:bCs/>
          <w:b/>
        </w:rPr>
        <w:t xml:space="preserve">Validity Period:</w:t>
      </w:r>
      <w:r>
        <w:t xml:space="preserve"> </w:t>
      </w:r>
      <w:r>
        <w:t xml:space="preserve">This estimate is valid for thirty (30) calendar days from the date of issue. Should the client wish to proceed after the expiry date, the Lawyer reserves the right to reissue the Quotation Estimate at updated rates in accordance with the current RVG fee schedule applicable in Berlin, Germany.</w:t>
      </w:r>
    </w:p>
    <w:p>
      <w:pPr>
        <w:numPr>
          <w:ilvl w:val="0"/>
          <w:numId w:val="1001"/>
        </w:numPr>
        <w:pStyle w:val="Compact"/>
      </w:pPr>
      <w:r>
        <w:rPr>
          <w:bCs/>
          <w:b/>
        </w:rPr>
        <w:t xml:space="preserve">Payment Terms:</w:t>
      </w:r>
      <w:r>
        <w:t xml:space="preserve"> </w:t>
      </w:r>
      <w:r>
        <w:t xml:space="preserve">Unless otherwise agreed in writing, all fees are payable within fourteen (14) days of invoice issuance. Invoices shall be issued in accordance with the German Invoice Regulation (Rechnungsstellungsverordnung). Payment shall be made via bank transfer to the firm's designated account in Berlin, Germany.</w:t>
      </w:r>
    </w:p>
    <w:p>
      <w:pPr>
        <w:numPr>
          <w:ilvl w:val="0"/>
          <w:numId w:val="1001"/>
        </w:numPr>
        <w:pStyle w:val="Compact"/>
      </w:pPr>
      <w:r>
        <w:rPr>
          <w:bCs/>
          <w:b/>
        </w:rPr>
        <w:t xml:space="preserve">Retainer Fee:</w:t>
      </w:r>
      <w:r>
        <w:t xml:space="preserve"> </w:t>
      </w:r>
      <w:r>
        <w:t xml:space="preserve">A retainer of 20% of the total estimated fee (€ 3,045.21) is due upon acceptance of this Quotation Estimate to secure the Lawyer's availability and to commence the matter.</w:t>
      </w:r>
    </w:p>
    <w:p>
      <w:pPr>
        <w:numPr>
          <w:ilvl w:val="0"/>
          <w:numId w:val="1001"/>
        </w:numPr>
        <w:pStyle w:val="Compact"/>
      </w:pPr>
      <w:r>
        <w:rPr>
          <w:bCs/>
          <w:b/>
        </w:rPr>
        <w:t xml:space="preserve">Scope Limitations:</w:t>
      </w:r>
      <w:r>
        <w:t xml:space="preserve"> </w:t>
      </w:r>
      <w:r>
        <w:t xml:space="preserve">This estimate covers the services explicitly listed in Section 3. Any additional legal work, including but not limited to appellate proceedings before the Higher Regional Court (Oberlandesgericht) in Berlin, mediation, or expert consultations beyond the stated scope, shall be subject to a separate Quotation Estimate.</w:t>
      </w:r>
    </w:p>
    <w:p>
      <w:pPr>
        <w:numPr>
          <w:ilvl w:val="0"/>
          <w:numId w:val="1001"/>
        </w:numPr>
        <w:pStyle w:val="Compact"/>
      </w:pPr>
      <w:r>
        <w:rPr>
          <w:bCs/>
          <w:b/>
        </w:rPr>
        <w:t xml:space="preserve">Confidentiality:</w:t>
      </w:r>
      <w:r>
        <w:t xml:space="preserve"> </w:t>
      </w:r>
      <w:r>
        <w:t xml:space="preserve">The Lawyer shall maintain strict professional confidentiality in accordance with § 43a BRAO and the General Data Protection Regulation (GDPR / DSGVO). All client data shall be processed and stored in compliance with German data protection law.</w:t>
      </w:r>
    </w:p>
    <w:p>
      <w:pPr>
        <w:numPr>
          <w:ilvl w:val="0"/>
          <w:numId w:val="1001"/>
        </w:numPr>
        <w:pStyle w:val="Compact"/>
      </w:pPr>
      <w:r>
        <w:rPr>
          <w:bCs/>
          <w:b/>
        </w:rPr>
        <w:t xml:space="preserve">Professional Liability Insurance:</w:t>
      </w:r>
      <w:r>
        <w:t xml:space="preserve"> </w:t>
      </w:r>
      <w:r>
        <w:t xml:space="preserve">The Lawyer maintains professional indemnity insurance (Berufshaftpflichtversicherung) in accordance with § 51 BRAO, with a minimum coverage of €2,500,000 per claim, as required for all practising lawyers in Germany Berlin.</w:t>
      </w:r>
    </w:p>
    <w:p>
      <w:pPr>
        <w:numPr>
          <w:ilvl w:val="0"/>
          <w:numId w:val="1001"/>
        </w:numPr>
        <w:pStyle w:val="Compact"/>
      </w:pPr>
      <w:r>
        <w:rPr>
          <w:bCs/>
          <w:b/>
        </w:rPr>
        <w:t xml:space="preserve">Dispute Resolution:</w:t>
      </w:r>
      <w:r>
        <w:t xml:space="preserve"> </w:t>
      </w:r>
      <w:r>
        <w:t xml:space="preserve">Any dispute arising from this engagement shall be subject to the exclusive jurisdiction of the competent courts in Berlin, Germany. The parties agree to attempt mediation before the Berlin Bar Association (Rechtsanwaltskammer Berlin) prior to initiating formal proceedings.</w:t>
      </w:r>
    </w:p>
    <w:p>
      <w:pPr>
        <w:numPr>
          <w:ilvl w:val="0"/>
          <w:numId w:val="1001"/>
        </w:numPr>
        <w:pStyle w:val="Compact"/>
      </w:pPr>
      <w:r>
        <w:rPr>
          <w:bCs/>
          <w:b/>
        </w:rPr>
        <w:t xml:space="preserve">Language of Services:</w:t>
      </w:r>
      <w:r>
        <w:t xml:space="preserve"> </w:t>
      </w:r>
      <w:r>
        <w:t xml:space="preserve">All legal documents, court filings, and correspondence shall be prepared in German, as required by the courts of Berlin, Germany. Translations into English or other languages shall be billed as out-of-pocket expenses.</w:t>
      </w:r>
    </w:p>
    <w:bookmarkEnd w:id="26"/>
    <w:bookmarkStart w:id="27" w:name="acceptance-and-signatures"/>
    <w:p>
      <w:pPr>
        <w:pStyle w:val="Heading2"/>
      </w:pPr>
      <w:r>
        <w:t xml:space="preserve">5. Acceptance and Signatures</w:t>
      </w:r>
    </w:p>
    <w:p>
      <w:pPr>
        <w:pStyle w:val="FirstParagraph"/>
      </w:pPr>
      <w:r>
        <w:t xml:space="preserve">By signing below, the client acknowledges receipt of this Quotation Estimate, confirms understanding of the scope of legal services to be provided by the Lawyer, and agrees to the terms and conditions set forth herein. This acceptance constitutes a binding engagement of the law firm for the representation described in this document, to be conducted in accordance with the professional standards of the Berlin Bar Association and the applicable laws of Germany.</w:t>
      </w:r>
    </w:p>
    <w:p>
      <w:pPr>
        <w:pStyle w:val="BodyText"/>
      </w:pPr>
      <w:r>
        <w:rPr>
          <w:bCs/>
          <w:b/>
        </w:rPr>
        <w:t xml:space="preserve">For the Law Firm (Lawyer):</w:t>
      </w:r>
    </w:p>
    <w:p>
      <w:pPr>
        <w:pStyle w:val="BodyText"/>
      </w:pPr>
      <w:r>
        <w:t xml:space="preserve">Dr. Katharina Vogel, Rechtsanwältin</w:t>
      </w:r>
    </w:p>
    <w:p>
      <w:pPr>
        <w:pStyle w:val="BodyText"/>
      </w:pPr>
      <w:r>
        <w:t xml:space="preserve">Managing Partner, Dr. Vogel &amp; Partner Rechtsanwälte</w:t>
      </w:r>
    </w:p>
    <w:p>
      <w:pPr>
        <w:pStyle w:val="BodyText"/>
      </w:pPr>
      <w:r>
        <w:t xml:space="preserve">Berlin, Germany</w:t>
      </w:r>
    </w:p>
    <w:p>
      <w:pPr>
        <w:pStyle w:val="BodyText"/>
      </w:pPr>
      <w:r>
        <w:t xml:space="preserve">Signature &amp; Date</w:t>
      </w:r>
    </w:p>
    <w:p>
      <w:pPr>
        <w:pStyle w:val="BodyText"/>
      </w:pPr>
      <w:r>
        <w:rPr>
          <w:bCs/>
          <w:b/>
        </w:rPr>
        <w:t xml:space="preserve">For the Client:</w:t>
      </w:r>
    </w:p>
    <w:p>
      <w:pPr>
        <w:pStyle w:val="BodyText"/>
      </w:pPr>
      <w:r>
        <w:t xml:space="preserve">Mr. Jonathan A. Whitfield</w:t>
      </w:r>
    </w:p>
    <w:p>
      <w:pPr>
        <w:pStyle w:val="BodyText"/>
      </w:pPr>
      <w:r>
        <w:t xml:space="preserve">Client Representative</w:t>
      </w:r>
    </w:p>
    <w:p>
      <w:pPr>
        <w:pStyle w:val="BodyText"/>
      </w:pPr>
      <w:r>
        <w:t xml:space="preserve">Berlin, Germany</w:t>
      </w:r>
    </w:p>
    <w:p>
      <w:pPr>
        <w:pStyle w:val="BodyText"/>
      </w:pPr>
      <w:r>
        <w:t xml:space="preserve">Signature &amp; Date</w:t>
      </w:r>
    </w:p>
    <w:p>
      <w:pPr>
        <w:pStyle w:val="BodyText"/>
      </w:pPr>
      <w:r>
        <w:t xml:space="preserve">Dr. Katharina Vogel &amp; Partner Rechtsanwälte | Unter den Linden 42, 10117 Berlin, Germany</w:t>
      </w:r>
    </w:p>
    <w:p>
      <w:pPr>
        <w:pStyle w:val="BodyText"/>
      </w:pPr>
      <w:r>
        <w:t xml:space="preserve">Registered with the Rechtsanwaltskammer Berlin | VAT ID: DE 312 445 678 | This Quotation Estimate is valid only for the client named herein.</w:t>
      </w:r>
    </w:p>
    <w:p>
      <w:pPr>
        <w:pStyle w:val="BodyText"/>
      </w:pPr>
      <w:r>
        <w:t xml:space="preserve">Page 1 of 1 | Document QE-BER-2025-04712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Berlin, Germany</dc:title>
  <dc:creator/>
  <dc:language>en</dc:language>
  <cp:keywords/>
  <dcterms:created xsi:type="dcterms:W3CDTF">2026-10-10T06:10:39Z</dcterms:created>
  <dcterms:modified xsi:type="dcterms:W3CDTF">2026-10-10T06:10:39Z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