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Frankfurt,</w:t>
      </w:r>
      <w:r>
        <w:t xml:space="preserve"> </w:t>
      </w:r>
      <w:r>
        <w:t xml:space="preserve">Germany</w:t>
      </w:r>
    </w:p>
    <w:bookmarkStart w:id="20" w:name="quotation-estimate"/>
    <w:p>
      <w:pPr>
        <w:pStyle w:val="Heading1"/>
      </w:pPr>
      <w:r>
        <w:t xml:space="preserve">QUOTATION ESTIMATE</w:t>
      </w:r>
    </w:p>
    <w:p>
      <w:pPr>
        <w:pStyle w:val="FirstParagraph"/>
      </w:pPr>
      <w:r>
        <w:t xml:space="preserve">Professional Legal Services — Attorney at Law</w:t>
      </w:r>
    </w:p>
    <w:p>
      <w:pPr>
        <w:pStyle w:val="BodyText"/>
      </w:pPr>
      <w:r>
        <w:t xml:space="preserve">Issued in Frankfurt am Main, Germany</w:t>
      </w:r>
    </w:p>
    <w:bookmarkEnd w:id="20"/>
    <w:bookmarkStart w:id="21" w:name="law-firm-lawyer"/>
    <w:p>
      <w:pPr>
        <w:pStyle w:val="Heading3"/>
      </w:pPr>
      <w:r>
        <w:t xml:space="preserve">Law Firm (Lawyer)</w:t>
      </w:r>
    </w:p>
    <w:p>
      <w:pPr>
        <w:pStyle w:val="FirstParagraph"/>
      </w:pPr>
      <w:r>
        <w:rPr>
          <w:bCs/>
          <w:b/>
        </w:rPr>
        <w:t xml:space="preserve">Dr. Heinrich Vogel &amp; Partner Rechtsanwälte</w:t>
      </w:r>
    </w:p>
    <w:p>
      <w:pPr>
        <w:pStyle w:val="BodyText"/>
      </w:pPr>
      <w:r>
        <w:t xml:space="preserve">Zeil 142, 60313 Frankfurt am Main</w:t>
      </w:r>
    </w:p>
    <w:p>
      <w:pPr>
        <w:pStyle w:val="BodyText"/>
      </w:pPr>
      <w:r>
        <w:t xml:space="preserve">Hesse, Germany</w:t>
      </w:r>
    </w:p>
    <w:p>
      <w:pPr>
        <w:pStyle w:val="BodyText"/>
      </w:pPr>
      <w:r>
        <w:t xml:space="preserve">Tel: +49 (0)69 288 44 100</w:t>
      </w:r>
    </w:p>
    <w:p>
      <w:pPr>
        <w:pStyle w:val="BodyText"/>
      </w:pPr>
      <w:r>
        <w:t xml:space="preserve">Email: info@vogel-partner-frankfurt.de</w:t>
      </w:r>
    </w:p>
    <w:p>
      <w:pPr>
        <w:pStyle w:val="BodyText"/>
      </w:pPr>
      <w:r>
        <w:t xml:space="preserve">RAK Frankfurt (Bar Association): License No. FR-2019-04872</w:t>
      </w:r>
    </w:p>
    <w:bookmarkEnd w:id="21"/>
    <w:bookmarkStart w:id="22" w:name="client"/>
    <w:p>
      <w:pPr>
        <w:pStyle w:val="Heading3"/>
      </w:pPr>
      <w:r>
        <w:t xml:space="preserve">Client</w:t>
      </w:r>
    </w:p>
    <w:p>
      <w:pPr>
        <w:pStyle w:val="FirstParagraph"/>
      </w:pPr>
      <w:r>
        <w:rPr>
          <w:bCs/>
          <w:b/>
        </w:rPr>
        <w:t xml:space="preserve">Mr. Jonathan A. Whitfield</w:t>
      </w:r>
    </w:p>
    <w:p>
      <w:pPr>
        <w:pStyle w:val="BodyText"/>
      </w:pPr>
      <w:r>
        <w:t xml:space="preserve">Eschenheimer Str. 88</w:t>
      </w:r>
    </w:p>
    <w:p>
      <w:pPr>
        <w:pStyle w:val="BodyText"/>
      </w:pPr>
      <w:r>
        <w:t xml:space="preserve">60316 Frankfurt am Main</w:t>
      </w:r>
    </w:p>
    <w:p>
      <w:pPr>
        <w:pStyle w:val="BodyText"/>
      </w:pPr>
      <w:r>
        <w:t xml:space="preserve">Hesse, Germany</w:t>
      </w:r>
    </w:p>
    <w:p>
      <w:pPr>
        <w:pStyle w:val="BodyText"/>
      </w:pPr>
      <w:r>
        <w:t xml:space="preserve">Tel: +49 (0)69 555 22 331</w:t>
      </w:r>
    </w:p>
    <w:p>
      <w:pPr>
        <w:pStyle w:val="BodyText"/>
      </w:pPr>
      <w:r>
        <w:t xml:space="preserve">Email: j.whitfield@email.com</w:t>
      </w:r>
    </w:p>
    <w:bookmarkEnd w:id="22"/>
    <w:p>
      <w:pPr>
        <w:pStyle w:val="BodyText"/>
      </w:pPr>
      <w:r>
        <w:rPr>
          <w:bCs/>
          <w:b/>
        </w:rPr>
        <w:t xml:space="preserve">Quotation Estimate Reference No.:</w:t>
      </w:r>
      <w:r>
        <w:t xml:space="preserve"> </w:t>
      </w:r>
      <w:r>
        <w:t xml:space="preserve">QE-2025-FR-03847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calendar days)</w:t>
      </w:r>
    </w:p>
    <w:p>
      <w:pPr>
        <w:pStyle w:val="BodyText"/>
      </w:pPr>
      <w:r>
        <w:rPr>
          <w:bCs/>
          <w:b/>
        </w:rPr>
        <w:t xml:space="preserve">Prepared By:</w:t>
      </w:r>
      <w:r>
        <w:t xml:space="preserve"> </w:t>
      </w:r>
      <w:r>
        <w:t xml:space="preserve">Dr. Heinrich Vogel, Attorney at Law (Rechtsanwalt)</w:t>
      </w:r>
    </w:p>
    <w:p>
      <w:pPr>
        <w:pStyle w:val="BodyText"/>
      </w:pPr>
      <w:r>
        <w:rPr>
          <w:bCs/>
          <w:b/>
        </w:rPr>
        <w:t xml:space="preserve">Jurisdiction:</w:t>
      </w:r>
      <w:r>
        <w:t xml:space="preserve"> </w:t>
      </w:r>
      <w:r>
        <w:t xml:space="preserve">Frankfurt am Main, Hesse, Federal Republic of Germany</w:t>
      </w:r>
    </w:p>
    <w:bookmarkStart w:id="23" w:name="X0c7581080508d578c26b6d8dfd726c7e3ca5cc9"/>
    <w:p>
      <w:pPr>
        <w:pStyle w:val="Heading2"/>
      </w:pPr>
      <w:r>
        <w:t xml:space="preserve">1. Purpose and Scope of This Quotation Estimate</w:t>
      </w:r>
    </w:p>
    <w:p>
      <w:pPr>
        <w:pStyle w:val="FirstParagraph"/>
      </w:pPr>
      <w:r>
        <w:t xml:space="preserve">This Quotation Estimate is issued by the undersigned Lawyer, Dr. Heinrich Vogel, acting in his capacity as a licensed attorney at law (Rechtsanwalt) registered with the Frankfurt Bar Association (Rechtsanwaltskammer Frankfurt am Main), to provide the Client with a comprehensive and transparent cost overview for the legal services to be rendered in Frankfurt, Germany. This document constitutes a formal Quotation Estimate in accordance with the German Lawyers' Fees Act (Rechtsanwaltsvergütungsgesetz — RVG) and the applicable professional regulations of the Hesse Bar Association.</w:t>
      </w:r>
    </w:p>
    <w:p>
      <w:pPr>
        <w:pStyle w:val="BodyText"/>
      </w:pPr>
      <w:r>
        <w:t xml:space="preserve">The scope of legal services covered by this Quotation Estimate includes, but is not limited to, the following matters to be handled by the Lawyer on behalf of the Client within the jurisdiction of Frankfurt am Main:</w:t>
      </w:r>
    </w:p>
    <w:bookmarkEnd w:id="23"/>
    <w:bookmarkStart w:id="24" w:name="X792ee1dc5fcbea97b9dddf2f4e59fe030d8464e"/>
    <w:p>
      <w:pPr>
        <w:pStyle w:val="Heading2"/>
      </w:pPr>
      <w:r>
        <w:t xml:space="preserve">2. Detailed Breakdown of Legal Services and Fees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Legal Service</w:t>
            </w:r>
          </w:p>
        </w:tc>
        <w:tc>
          <w:tcPr/>
          <w:p>
            <w:pPr>
              <w:pStyle w:val="Compact"/>
              <w:jc w:val="left"/>
            </w:pPr>
            <w:r>
              <w:t xml:space="preserve">Fee Basis (RVG)</w:t>
            </w:r>
          </w:p>
        </w:tc>
        <w:tc>
          <w:tcPr/>
          <w:p>
            <w:pPr>
              <w:pStyle w:val="Compact"/>
              <w:jc w:val="left"/>
            </w:pPr>
            <w:r>
              <w:t xml:space="preserve">Estimated Fee (EUR)</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legal consultation and case assessment regarding commercial contract dispute (commercial tenancy, Zeil district, Frankfurt)</w:t>
            </w:r>
          </w:p>
        </w:tc>
        <w:tc>
          <w:tcPr/>
          <w:p>
            <w:pPr>
              <w:pStyle w:val="Compact"/>
              <w:jc w:val="left"/>
            </w:pPr>
            <w:r>
              <w:t xml:space="preserve">§ 2 RVG / Nr. 3400 VV</w:t>
            </w:r>
          </w:p>
        </w:tc>
        <w:tc>
          <w:tcPr/>
          <w:p>
            <w:pPr>
              <w:pStyle w:val="Compact"/>
              <w:jc w:val="left"/>
            </w:pPr>
            <w:r>
              <w:t xml:space="preserve">€ 1,240.00</w:t>
            </w:r>
          </w:p>
        </w:tc>
        <w:tc>
          <w:tcPr/>
          <w:p>
            <w:pPr>
              <w:pStyle w:val="Compact"/>
              <w:jc w:val="left"/>
            </w:pPr>
            <w:r>
              <w:t xml:space="preserve">Includes preparation and written summary</w:t>
            </w:r>
          </w:p>
        </w:tc>
      </w:tr>
      <w:tr>
        <w:tc>
          <w:tcPr/>
          <w:p>
            <w:pPr>
              <w:pStyle w:val="Compact"/>
              <w:jc w:val="left"/>
            </w:pPr>
            <w:r>
              <w:t xml:space="preserve">2</w:t>
            </w:r>
          </w:p>
        </w:tc>
        <w:tc>
          <w:tcPr/>
          <w:p>
            <w:pPr>
              <w:pStyle w:val="Compact"/>
              <w:jc w:val="left"/>
            </w:pPr>
            <w:r>
              <w:t xml:space="preserve">Drafting and filing of formal legal notice (Mahnung) and statement of claim (Klageerhebung) before the Local Court (Amtsgericht) Frankfurt am Main</w:t>
            </w:r>
          </w:p>
        </w:tc>
        <w:tc>
          <w:tcPr/>
          <w:p>
            <w:pPr>
              <w:pStyle w:val="Compact"/>
              <w:jc w:val="left"/>
            </w:pPr>
            <w:r>
              <w:t xml:space="preserve">§ 11 RVG / Nr. 3000 VV</w:t>
            </w:r>
          </w:p>
        </w:tc>
        <w:tc>
          <w:tcPr/>
          <w:p>
            <w:pPr>
              <w:pStyle w:val="Compact"/>
              <w:jc w:val="left"/>
            </w:pPr>
            <w:r>
              <w:t xml:space="preserve">€ 2,870.00</w:t>
            </w:r>
          </w:p>
        </w:tc>
        <w:tc>
          <w:tcPr/>
          <w:p>
            <w:pPr>
              <w:pStyle w:val="Compact"/>
              <w:jc w:val="left"/>
            </w:pPr>
            <w:r>
              <w:t xml:space="preserve">Dispute value: € 120,000</w:t>
            </w:r>
          </w:p>
        </w:tc>
      </w:tr>
      <w:tr>
        <w:tc>
          <w:tcPr/>
          <w:p>
            <w:pPr>
              <w:pStyle w:val="Compact"/>
              <w:jc w:val="left"/>
            </w:pPr>
            <w:r>
              <w:t xml:space="preserve">3</w:t>
            </w:r>
          </w:p>
        </w:tc>
        <w:tc>
          <w:tcPr/>
          <w:p>
            <w:pPr>
              <w:pStyle w:val="Compact"/>
              <w:jc w:val="left"/>
            </w:pPr>
            <w:r>
              <w:t xml:space="preserve">Representation in first-instance proceedings before the Local Court Frankfurt am Main (up to three hearing days)</w:t>
            </w:r>
          </w:p>
        </w:tc>
        <w:tc>
          <w:tcPr/>
          <w:p>
            <w:pPr>
              <w:pStyle w:val="Compact"/>
              <w:jc w:val="left"/>
            </w:pPr>
            <w:r>
              <w:t xml:space="preserve">§ 12 RVG / Nr. 4100 VV</w:t>
            </w:r>
          </w:p>
        </w:tc>
        <w:tc>
          <w:tcPr/>
          <w:p>
            <w:pPr>
              <w:pStyle w:val="Compact"/>
              <w:jc w:val="left"/>
            </w:pPr>
            <w:r>
              <w:t xml:space="preserve">€ 4,305.00</w:t>
            </w:r>
          </w:p>
        </w:tc>
        <w:tc>
          <w:tcPr/>
          <w:p>
            <w:pPr>
              <w:pStyle w:val="Compact"/>
              <w:jc w:val="left"/>
            </w:pPr>
            <w:r>
              <w:t xml:space="preserve">Per hearing day; additional days billed separately</w:t>
            </w:r>
          </w:p>
        </w:tc>
      </w:tr>
      <w:tr>
        <w:tc>
          <w:tcPr/>
          <w:p>
            <w:pPr>
              <w:pStyle w:val="Compact"/>
              <w:jc w:val="left"/>
            </w:pPr>
            <w:r>
              <w:t xml:space="preserve">4</w:t>
            </w:r>
          </w:p>
        </w:tc>
        <w:tc>
          <w:tcPr/>
          <w:p>
            <w:pPr>
              <w:pStyle w:val="Compact"/>
              <w:jc w:val="left"/>
            </w:pPr>
            <w:r>
              <w:t xml:space="preserve">Preparation of written legal briefs (Schriftsätze) and evidentiary submissions (up to four filings)</w:t>
            </w:r>
          </w:p>
        </w:tc>
        <w:tc>
          <w:tcPr/>
          <w:p>
            <w:pPr>
              <w:pStyle w:val="Compact"/>
              <w:jc w:val="left"/>
            </w:pPr>
            <w:r>
              <w:t xml:space="preserve">§ 11 RVG / Nr. 3000 VV</w:t>
            </w:r>
          </w:p>
        </w:tc>
        <w:tc>
          <w:tcPr/>
          <w:p>
            <w:pPr>
              <w:pStyle w:val="Compact"/>
              <w:jc w:val="left"/>
            </w:pPr>
            <w:r>
              <w:t xml:space="preserve">€ 2,870.00</w:t>
            </w:r>
          </w:p>
        </w:tc>
        <w:tc>
          <w:tcPr/>
          <w:p>
            <w:pPr>
              <w:pStyle w:val="Compact"/>
              <w:jc w:val="left"/>
            </w:pPr>
            <w:r>
              <w:t xml:space="preserve">Includes legal research and citation</w:t>
            </w:r>
          </w:p>
        </w:tc>
      </w:tr>
      <w:tr>
        <w:tc>
          <w:tcPr/>
          <w:p>
            <w:pPr>
              <w:pStyle w:val="Compact"/>
              <w:jc w:val="left"/>
            </w:pPr>
            <w:r>
              <w:t xml:space="preserve">5</w:t>
            </w:r>
          </w:p>
        </w:tc>
        <w:tc>
          <w:tcPr/>
          <w:p>
            <w:pPr>
              <w:pStyle w:val="Compact"/>
              <w:jc w:val="left"/>
            </w:pPr>
            <w:r>
              <w:t xml:space="preserve">Settlement negotiation and drafting of a settlement agreement (Vergleich) if applicable</w:t>
            </w:r>
          </w:p>
        </w:tc>
        <w:tc>
          <w:tcPr/>
          <w:p>
            <w:pPr>
              <w:pStyle w:val="Compact"/>
              <w:jc w:val="left"/>
            </w:pPr>
            <w:r>
              <w:t xml:space="preserve">§ 11 RVG / Nr. 3000 VV</w:t>
            </w:r>
          </w:p>
        </w:tc>
        <w:tc>
          <w:tcPr/>
          <w:p>
            <w:pPr>
              <w:pStyle w:val="Compact"/>
              <w:jc w:val="left"/>
            </w:pPr>
            <w:r>
              <w:t xml:space="preserve">€ 1,435.00</w:t>
            </w:r>
          </w:p>
        </w:tc>
        <w:tc>
          <w:tcPr/>
          <w:p>
            <w:pPr>
              <w:pStyle w:val="Compact"/>
              <w:jc w:val="left"/>
            </w:pPr>
            <w:r>
              <w:t xml:space="preserve">Contingent upon negotiation phase</w:t>
            </w:r>
          </w:p>
        </w:tc>
      </w:tr>
      <w:tr>
        <w:tc>
          <w:tcPr/>
          <w:p>
            <w:pPr>
              <w:pStyle w:val="Compact"/>
              <w:jc w:val="left"/>
            </w:pPr>
            <w:r>
              <w:t xml:space="preserve">6</w:t>
            </w:r>
          </w:p>
        </w:tc>
        <w:tc>
          <w:tcPr/>
          <w:p>
            <w:pPr>
              <w:pStyle w:val="Compact"/>
              <w:jc w:val="left"/>
            </w:pPr>
            <w:r>
              <w:t xml:space="preserve">Out-of-pocket expenses: court fees, service of process, certified copies, travel within Frankfurt am Main</w:t>
            </w:r>
          </w:p>
        </w:tc>
        <w:tc>
          <w:tcPr/>
          <w:p>
            <w:pPr>
              <w:pStyle w:val="Compact"/>
              <w:jc w:val="left"/>
            </w:pPr>
            <w:r>
              <w:t xml:space="preserve">§ 19 RVG</w:t>
            </w:r>
          </w:p>
        </w:tc>
        <w:tc>
          <w:tcPr/>
          <w:p>
            <w:pPr>
              <w:pStyle w:val="Compact"/>
              <w:jc w:val="left"/>
            </w:pPr>
            <w:r>
              <w:t xml:space="preserve">€ 680.00</w:t>
            </w:r>
          </w:p>
        </w:tc>
        <w:tc>
          <w:tcPr/>
          <w:p>
            <w:pPr>
              <w:pStyle w:val="Compact"/>
              <w:jc w:val="left"/>
            </w:pPr>
            <w:r>
              <w:t xml:space="preserve">Estimated; actual costs may vary</w:t>
            </w:r>
          </w:p>
        </w:tc>
      </w:tr>
      <w:tr>
        <w:tc>
          <w:tcPr/>
          <w:p>
            <w:pPr>
              <w:pStyle w:val="Compact"/>
              <w:jc w:val="left"/>
            </w:pPr>
            <w:r>
              <w:t xml:space="preserve">7</w:t>
            </w:r>
          </w:p>
        </w:tc>
        <w:tc>
          <w:tcPr/>
          <w:p>
            <w:pPr>
              <w:pStyle w:val="Compact"/>
              <w:jc w:val="left"/>
            </w:pPr>
            <w:r>
              <w:t xml:space="preserve">Post-judgment enforcement proceedings (Vollstreckungsverfahren) before the Frankfurt enforcement court, if required</w:t>
            </w:r>
          </w:p>
        </w:tc>
        <w:tc>
          <w:tcPr/>
          <w:p>
            <w:pPr>
              <w:pStyle w:val="Compact"/>
              <w:jc w:val="left"/>
            </w:pPr>
            <w:r>
              <w:t xml:space="preserve">§ 11 RVG / Nr. 3000 VV</w:t>
            </w:r>
          </w:p>
        </w:tc>
        <w:tc>
          <w:tcPr/>
          <w:p>
            <w:pPr>
              <w:pStyle w:val="Compact"/>
              <w:jc w:val="left"/>
            </w:pPr>
            <w:r>
              <w:t xml:space="preserve">€ 2,870.00</w:t>
            </w:r>
          </w:p>
        </w:tc>
        <w:tc>
          <w:tcPr/>
          <w:p>
            <w:pPr>
              <w:pStyle w:val="Compact"/>
              <w:jc w:val="left"/>
            </w:pPr>
            <w:r>
              <w:t xml:space="preserve">Only if judgment is not voluntarily fulfilled</w:t>
            </w:r>
          </w:p>
        </w:tc>
      </w:tr>
      <w:tr>
        <w:tc>
          <w:tcPr>
            <w:gridSpan w:val="3"/>
          </w:tcPr>
          <w:p>
            <w:pPr>
              <w:pStyle w:val="Compact"/>
              <w:jc w:val="left"/>
            </w:pPr>
            <w:r>
              <w:t xml:space="preserve">Subtotal (excluding VAT)</w:t>
            </w:r>
          </w:p>
        </w:tc>
        <w:tc>
          <w:tcPr/>
          <w:p>
            <w:pPr>
              <w:pStyle w:val="Compact"/>
              <w:jc w:val="left"/>
            </w:pPr>
            <w:r>
              <w:t xml:space="preserve">€ 16,270.00</w:t>
            </w:r>
          </w:p>
        </w:tc>
        <w:tc>
          <w:tcPr/>
          <w:p>
            <w:pPr>
              <w:pStyle w:val="Compact"/>
            </w:pPr>
          </w:p>
        </w:tc>
      </w:tr>
      <w:tr>
        <w:tc>
          <w:tcPr>
            <w:gridSpan w:val="3"/>
          </w:tcPr>
          <w:p>
            <w:pPr>
              <w:pStyle w:val="Compact"/>
              <w:jc w:val="left"/>
            </w:pPr>
            <w:r>
              <w:t xml:space="preserve">VAT (19% — German standard rate)</w:t>
            </w:r>
          </w:p>
        </w:tc>
        <w:tc>
          <w:tcPr/>
          <w:p>
            <w:pPr>
              <w:pStyle w:val="Compact"/>
              <w:jc w:val="left"/>
            </w:pPr>
            <w:r>
              <w:t xml:space="preserve">€ 3,091.30</w:t>
            </w:r>
          </w:p>
        </w:tc>
        <w:tc>
          <w:tcPr/>
          <w:p>
            <w:pPr>
              <w:pStyle w:val="Compact"/>
            </w:pPr>
          </w:p>
        </w:tc>
      </w:tr>
      <w:tr>
        <w:tc>
          <w:tcPr>
            <w:gridSpan w:val="3"/>
          </w:tcPr>
          <w:p>
            <w:pPr>
              <w:pStyle w:val="Compact"/>
              <w:jc w:val="left"/>
            </w:pPr>
            <w:r>
              <w:rPr>
                <w:bCs/>
                <w:b/>
              </w:rPr>
              <w:t xml:space="preserve">TOTAL ESTIMATED FEE (incl. VAT)</w:t>
            </w:r>
          </w:p>
        </w:tc>
        <w:tc>
          <w:tcPr/>
          <w:p>
            <w:pPr>
              <w:pStyle w:val="Compact"/>
              <w:jc w:val="left"/>
            </w:pPr>
            <w:r>
              <w:rPr>
                <w:bCs/>
                <w:b/>
              </w:rPr>
              <w:t xml:space="preserve">€ 19,361.30</w:t>
            </w:r>
          </w:p>
        </w:tc>
        <w:tc>
          <w:tcPr/>
          <w:p>
            <w:pPr>
              <w:pStyle w:val="Compact"/>
            </w:pPr>
          </w:p>
        </w:tc>
      </w:tr>
    </w:tbl>
    <w:p>
      <w:pPr>
        <w:pStyle w:val="BodyText"/>
      </w:pPr>
      <w:r>
        <w:rPr>
          <w:bCs/>
          <w:b/>
        </w:rPr>
        <w:t xml:space="preserve">Note:</w:t>
      </w:r>
      <w:r>
        <w:t xml:space="preserve"> </w:t>
      </w:r>
      <w:r>
        <w:t xml:space="preserve">This Quotation Estimate is based on the current fee schedule of the German Lawyers' Fees Act (RVG) as in force in Frankfurt, Germany. The final fees may vary depending on the complexity of the case, the number of court appearances, and any additional procedural steps that may become necessary during the proceedings before the courts in Frankfurt am Main. The Lawyer reserves the right to issue a revised Quotation Estimate should the scope of work materially change.</w:t>
      </w:r>
    </w:p>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shall remain valid for a period of thirty (30) calendar days from the date of issue. Upon expiry, the Lawyer reserves the right to revise the fees in accordance with any changes in the RVG or the specific circumstances of the matter.</w:t>
      </w:r>
    </w:p>
    <w:p>
      <w:pPr>
        <w:numPr>
          <w:ilvl w:val="0"/>
          <w:numId w:val="1001"/>
        </w:numPr>
        <w:pStyle w:val="Compact"/>
      </w:pPr>
      <w:r>
        <w:rPr>
          <w:bCs/>
          <w:b/>
        </w:rPr>
        <w:t xml:space="preserve">Payment Terms:</w:t>
      </w:r>
      <w:r>
        <w:t xml:space="preserve"> </w:t>
      </w:r>
      <w:r>
        <w:t xml:space="preserve">Invoices issued by the Lawyer shall be payable within fourteen (14) calendar days of the date of invoice, without deduction, to the bank account of Dr. Heinrich Vogel &amp; Partner Rechtsanwälte, IBAN: DE89 5001 0517 0000 0123 45, BIC: PBNKDEFF, Frankfurt am Main. Late payments shall accrue interest at the statutory rate of 5 percentage points above the ECB base rate as per § 288 of the German Civil Code (BGB).</w:t>
      </w:r>
    </w:p>
    <w:p>
      <w:pPr>
        <w:numPr>
          <w:ilvl w:val="0"/>
          <w:numId w:val="1001"/>
        </w:numPr>
        <w:pStyle w:val="Compact"/>
      </w:pPr>
      <w:r>
        <w:rPr>
          <w:bCs/>
          <w:b/>
        </w:rPr>
        <w:t xml:space="preserve">Retainer Fee:</w:t>
      </w:r>
      <w:r>
        <w:t xml:space="preserve"> </w:t>
      </w:r>
      <w:r>
        <w:t xml:space="preserve">A retainer fee (Vorauszahlung) of 30% of the total estimated fee, amounting to € 5,808.39 (incl. VAT), is due upon acceptance of this Quotation Estimate to secure the Lawyer's availability and to cover initial out-of-pocket expenses.</w:t>
      </w:r>
    </w:p>
    <w:p>
      <w:pPr>
        <w:numPr>
          <w:ilvl w:val="0"/>
          <w:numId w:val="1001"/>
        </w:numPr>
        <w:pStyle w:val="Compact"/>
      </w:pPr>
      <w:r>
        <w:rPr>
          <w:bCs/>
          <w:b/>
        </w:rPr>
        <w:t xml:space="preserve">Confidentiality:</w:t>
      </w:r>
      <w:r>
        <w:t xml:space="preserve"> </w:t>
      </w:r>
      <w:r>
        <w:t xml:space="preserve">The Lawyer shall maintain strict professional confidentiality in accordance with § 43a of the German Lawyers' Professional Act (Rechtsanwaltsberufsgesetz — BRAO). All information provided by the Client in connection with this engagement in Frankfurt, Germany, shall be treated as privileged and confidential.</w:t>
      </w:r>
    </w:p>
    <w:p>
      <w:pPr>
        <w:numPr>
          <w:ilvl w:val="0"/>
          <w:numId w:val="1001"/>
        </w:numPr>
        <w:pStyle w:val="Compact"/>
      </w:pPr>
      <w:r>
        <w:rPr>
          <w:bCs/>
          <w:b/>
        </w:rPr>
        <w:t xml:space="preserve">Governing Law and Jurisdiction:</w:t>
      </w:r>
      <w:r>
        <w:t xml:space="preserve"> </w:t>
      </w:r>
      <w:r>
        <w:t xml:space="preserve">This Quotation Estimate and the resulting attorney-client relationship shall be governed by the laws of the Federal Republic of Germany. Any disputes arising from or in connection with this engagement shall be subject to the exclusive jurisdiction of the competent courts in Frankfurt am Main, Hesse.</w:t>
      </w:r>
    </w:p>
    <w:p>
      <w:pPr>
        <w:numPr>
          <w:ilvl w:val="0"/>
          <w:numId w:val="1001"/>
        </w:numPr>
        <w:pStyle w:val="Compact"/>
      </w:pPr>
      <w:r>
        <w:rPr>
          <w:bCs/>
          <w:b/>
        </w:rPr>
        <w:t xml:space="preserve">Professional Liability Insurance:</w:t>
      </w:r>
      <w:r>
        <w:t xml:space="preserve"> </w:t>
      </w:r>
      <w:r>
        <w:t xml:space="preserve">The Lawyer maintains professional liability insurance (Berufshaftpflichtversicherung) in accordance with § 51 BRAO, with a minimum coverage of € 1,000,000 per claim, held with a licensed insurer in Germany. A certificate of insurance shall be provided upon request.</w:t>
      </w:r>
    </w:p>
    <w:p>
      <w:pPr>
        <w:numPr>
          <w:ilvl w:val="0"/>
          <w:numId w:val="1001"/>
        </w:numPr>
        <w:pStyle w:val="Compact"/>
      </w:pPr>
      <w:r>
        <w:rPr>
          <w:bCs/>
          <w:b/>
        </w:rPr>
        <w:t xml:space="preserve">Acceptance:</w:t>
      </w:r>
      <w:r>
        <w:t xml:space="preserve"> </w:t>
      </w:r>
      <w:r>
        <w:t xml:space="preserve">This Quotation Estimate becomes binding upon written acceptance by the Client. Acceptance may be communicated via email, signed letter, or electronic signature. The Lawyer shall confirm the engagement in writing within five (5) business days of receipt of acceptance.</w:t>
      </w:r>
    </w:p>
    <w:p>
      <w:pPr>
        <w:numPr>
          <w:ilvl w:val="0"/>
          <w:numId w:val="1001"/>
        </w:numPr>
        <w:pStyle w:val="Compact"/>
      </w:pPr>
      <w:r>
        <w:rPr>
          <w:bCs/>
          <w:b/>
        </w:rPr>
        <w:t xml:space="preserve">Amendments:</w:t>
      </w:r>
      <w:r>
        <w:t xml:space="preserve"> </w:t>
      </w:r>
      <w:r>
        <w:t xml:space="preserve">Any amendments to this Quotation Estimate must be made in writing and signed by both the Lawyer and the Client. Verbal modifications shall not be binding.</w:t>
      </w:r>
    </w:p>
    <w:bookmarkEnd w:id="25"/>
    <w:bookmarkStart w:id="26" w:name="declaration-and-acceptance"/>
    <w:p>
      <w:pPr>
        <w:pStyle w:val="Heading2"/>
      </w:pPr>
      <w:r>
        <w:t xml:space="preserve">4. Declaration and Acceptance</w:t>
      </w:r>
    </w:p>
    <w:p>
      <w:pPr>
        <w:pStyle w:val="FirstParagraph"/>
      </w:pPr>
      <w:r>
        <w:t xml:space="preserve">By signing below, the Client acknowledges having received and reviewed this Quotation Estimate for legal services to be provided by the Lawyer in Frankfurt, Germany. The Client confirms that the scope of work, the estimated fees, and the terms and conditions set forth herein are understood and accepted. The Client further acknowledges that this Quotation Estimate does not constitute a guarantee of any particular legal outcome.</w:t>
      </w:r>
    </w:p>
    <w:p>
      <w:pPr>
        <w:pStyle w:val="BodyText"/>
      </w:pPr>
      <w:r>
        <w:rPr>
          <w:bCs/>
          <w:b/>
        </w:rPr>
        <w:t xml:space="preserve">For the Lawyer (Law Firm):</w:t>
      </w:r>
    </w:p>
    <w:p>
      <w:pPr>
        <w:pStyle w:val="BodyText"/>
      </w:pPr>
      <w:r>
        <w:t xml:space="preserve">Dr. Heinrich Vogel</w:t>
      </w:r>
    </w:p>
    <w:p>
      <w:pPr>
        <w:pStyle w:val="BodyText"/>
      </w:pPr>
      <w:r>
        <w:t xml:space="preserve">Rechtsanwalt (Attorney at Law)</w:t>
      </w:r>
    </w:p>
    <w:p>
      <w:pPr>
        <w:pStyle w:val="BodyText"/>
      </w:pPr>
      <w:r>
        <w:t xml:space="preserve">Frankfurt am Main, Germany</w:t>
      </w:r>
    </w:p>
    <w:p>
      <w:pPr>
        <w:pStyle w:val="BodyText"/>
      </w:pPr>
      <w:r>
        <w:t xml:space="preserve">Signature &amp; Date</w:t>
      </w:r>
    </w:p>
    <w:p>
      <w:pPr>
        <w:pStyle w:val="BodyText"/>
      </w:pPr>
      <w:r>
        <w:rPr>
          <w:bCs/>
          <w:b/>
        </w:rPr>
        <w:t xml:space="preserve">For the Client:</w:t>
      </w:r>
    </w:p>
    <w:p>
      <w:pPr>
        <w:pStyle w:val="BodyText"/>
      </w:pPr>
      <w:r>
        <w:t xml:space="preserve">Mr. Jonathan A. Whitfield</w:t>
      </w:r>
    </w:p>
    <w:p>
      <w:pPr>
        <w:pStyle w:val="BodyText"/>
      </w:pPr>
      <w:r>
        <w:t xml:space="preserve">Frankfurt am Main, Germany</w:t>
      </w:r>
    </w:p>
    <w:p>
      <w:pPr>
        <w:pStyle w:val="BodyText"/>
      </w:pPr>
      <w:r>
        <w:t xml:space="preserve">Signature &amp; Date</w:t>
      </w:r>
    </w:p>
    <w:p>
      <w:pPr>
        <w:pStyle w:val="BodyText"/>
      </w:pPr>
      <w:r>
        <w:t xml:space="preserve">Quotation Estimate No. QE-2025-FR-03847 — Issued by Dr. Heinrich Vogel &amp; Partner Rechtsanwälte, Zeil 142, 60313 Frankfurt am Main, Germany</w:t>
      </w:r>
    </w:p>
    <w:p>
      <w:pPr>
        <w:pStyle w:val="BodyText"/>
      </w:pPr>
      <w:r>
        <w:t xml:space="preserve">This document is a Quotation Estimate for legal services and does not constitute a final invoice. All fees are subject to the German Lawyers' Fees Act (RVG) and the regulations of the Frankfurt Bar Association.</w:t>
      </w:r>
    </w:p>
    <w:p>
      <w:pPr>
        <w:pStyle w:val="BodyText"/>
      </w:pPr>
      <w:r>
        <w:t xml:space="preserve">© 2025 Dr. Heinrich Vogel &amp; Partner Rechtsanwälte. All rights reserved. Printed in Frankfurt am Main, Hesse, Germany.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Frankfurt, Germany</dc:title>
  <dc:creator/>
  <dc:language>en</dc:language>
  <cp:keywords/>
  <dcterms:created xsi:type="dcterms:W3CDTF">2026-10-10T11:30:49Z</dcterms:created>
  <dcterms:modified xsi:type="dcterms:W3CDTF">2026-10-10T11:30:49Z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