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Mumbai,</w:t>
      </w:r>
      <w:r>
        <w:t xml:space="preserve"> </w:t>
      </w:r>
      <w:r>
        <w:t xml:space="preserve">India</w:t>
      </w:r>
    </w:p>
    <w:bookmarkStart w:id="21" w:name="quotation-estimate"/>
    <w:p>
      <w:pPr>
        <w:pStyle w:val="Heading1"/>
      </w:pPr>
      <w:r>
        <w:t xml:space="preserve">Quotation Estimate</w:t>
      </w:r>
    </w:p>
    <w:bookmarkStart w:id="20" w:name="X006c29af35fa022965bbc5380054cf89b9ba4c4"/>
    <w:p>
      <w:pPr>
        <w:pStyle w:val="Heading2"/>
      </w:pPr>
      <w:r>
        <w:t xml:space="preserve">Professional Legal Services — Attorney &amp; Counselor at Law</w:t>
      </w:r>
    </w:p>
    <w:p>
      <w:pPr>
        <w:pStyle w:val="FirstParagraph"/>
      </w:pPr>
      <w:r>
        <w:t xml:space="preserve">Prepared for Clients in</w:t>
      </w:r>
      <w:r>
        <w:t xml:space="preserve"> </w:t>
      </w:r>
      <w:r>
        <w:rPr>
          <w:bCs/>
          <w:b/>
        </w:rPr>
        <w:t xml:space="preserve">Mumbai, Maharashtra, India</w:t>
      </w:r>
    </w:p>
    <w:bookmarkEnd w:id="20"/>
    <w:bookmarkEnd w:id="21"/>
    <w:bookmarkStart w:id="22" w:name="law-firm-details"/>
    <w:p>
      <w:pPr>
        <w:pStyle w:val="Heading3"/>
      </w:pPr>
      <w:r>
        <w:t xml:space="preserve">Law Firm Details</w:t>
      </w:r>
    </w:p>
    <w:p>
      <w:pPr>
        <w:pStyle w:val="FirstParagraph"/>
      </w:pPr>
      <w:r>
        <w:rPr>
          <w:bCs/>
          <w:b/>
        </w:rPr>
        <w:t xml:space="preserve">Adv. Rajesh K. Sharma &amp; Associates</w:t>
      </w:r>
    </w:p>
    <w:p>
      <w:pPr>
        <w:pStyle w:val="BodyText"/>
      </w:pPr>
      <w:r>
        <w:t xml:space="preserve">402, 4th Floor, Trade Centre, Nariman Point</w:t>
      </w:r>
    </w:p>
    <w:p>
      <w:pPr>
        <w:pStyle w:val="BodyText"/>
      </w:pPr>
      <w:r>
        <w:t xml:space="preserve">Mumbai – 400021, Maharashtra, India</w:t>
      </w:r>
    </w:p>
    <w:p>
      <w:pPr>
        <w:pStyle w:val="BodyText"/>
      </w:pPr>
      <w:r>
        <w:t xml:space="preserve">Phone: +91-22-2288-4455</w:t>
      </w:r>
    </w:p>
    <w:p>
      <w:pPr>
        <w:pStyle w:val="BodyText"/>
      </w:pPr>
      <w:r>
        <w:t xml:space="preserve">Email: legal@rksharmaassociates.in</w:t>
      </w:r>
    </w:p>
    <w:p>
      <w:pPr>
        <w:pStyle w:val="BodyText"/>
      </w:pPr>
      <w:r>
        <w:t xml:space="preserve">Bar Council of Maharashtra &amp; Goa Reg. No. MC/2003/1847</w:t>
      </w:r>
    </w:p>
    <w:bookmarkEnd w:id="22"/>
    <w:bookmarkStart w:id="23" w:name="client-details"/>
    <w:p>
      <w:pPr>
        <w:pStyle w:val="Heading3"/>
      </w:pPr>
      <w:r>
        <w:t xml:space="preserve">Client Details</w:t>
      </w:r>
    </w:p>
    <w:p>
      <w:pPr>
        <w:pStyle w:val="FirstParagraph"/>
      </w:pPr>
      <w:r>
        <w:rPr>
          <w:bCs/>
          <w:b/>
        </w:rPr>
        <w:t xml:space="preserve">Name:</w:t>
      </w:r>
      <w:r>
        <w:t xml:space="preserve"> </w:t>
      </w:r>
      <w:r>
        <w:t xml:space="preserve">[Client Full Name]</w:t>
      </w:r>
    </w:p>
    <w:p>
      <w:pPr>
        <w:pStyle w:val="BodyText"/>
      </w:pPr>
      <w:r>
        <w:rPr>
          <w:bCs/>
          <w:b/>
        </w:rPr>
        <w:t xml:space="preserve">Address:</w:t>
      </w:r>
      <w:r>
        <w:t xml:space="preserve"> </w:t>
      </w:r>
      <w:r>
        <w:t xml:space="preserve">[Client Address, Mumbai, India]</w:t>
      </w:r>
    </w:p>
    <w:p>
      <w:pPr>
        <w:pStyle w:val="BodyText"/>
      </w:pPr>
      <w:r>
        <w:rPr>
          <w:bCs/>
          <w:b/>
        </w:rPr>
        <w:t xml:space="preserve">Phone:</w:t>
      </w:r>
      <w:r>
        <w:t xml:space="preserve"> </w:t>
      </w:r>
      <w:r>
        <w:t xml:space="preserve">[Client Phone Number]</w:t>
      </w:r>
    </w:p>
    <w:p>
      <w:pPr>
        <w:pStyle w:val="BodyText"/>
      </w:pPr>
      <w:r>
        <w:rPr>
          <w:bCs/>
          <w:b/>
        </w:rPr>
        <w:t xml:space="preserve">Email:</w:t>
      </w:r>
      <w:r>
        <w:t xml:space="preserve"> </w:t>
      </w:r>
      <w:r>
        <w:t xml:space="preserve">[Client Email Address]</w:t>
      </w:r>
    </w:p>
    <w:p>
      <w:pPr>
        <w:pStyle w:val="BodyText"/>
      </w:pPr>
      <w:r>
        <w:rPr>
          <w:bCs/>
          <w:b/>
        </w:rPr>
        <w:t xml:space="preserve">GSTIN / PAN:</w:t>
      </w:r>
      <w:r>
        <w:t xml:space="preserve"> </w:t>
      </w:r>
      <w:r>
        <w:t xml:space="preserve">[Applicable ID]</w:t>
      </w:r>
    </w:p>
    <w:bookmarkEnd w:id="23"/>
    <w:p>
      <w:pPr>
        <w:pStyle w:val="BodyText"/>
      </w:pPr>
      <w:r>
        <w:rPr>
          <w:bCs/>
          <w:b/>
        </w:rPr>
        <w:t xml:space="preserve">Quotation Estimate No.:</w:t>
      </w:r>
      <w:r>
        <w:t xml:space="preserve"> </w:t>
      </w:r>
      <w:r>
        <w:t xml:space="preserve">QE/2025/MUM/00472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days from date of issue)</w:t>
      </w:r>
    </w:p>
    <w:p>
      <w:pPr>
        <w:pStyle w:val="BodyText"/>
      </w:pPr>
      <w:r>
        <w:rPr>
          <w:bCs/>
          <w:b/>
        </w:rPr>
        <w:t xml:space="preserve">Subject:</w:t>
      </w:r>
      <w:r>
        <w:t xml:space="preserve"> </w:t>
      </w:r>
      <w:r>
        <w:t xml:space="preserve">Comprehensive Legal Representation &amp; Advisory Services in Mumbai, India</w:t>
      </w:r>
    </w:p>
    <w:p>
      <w:pPr>
        <w:pStyle w:val="BodyText"/>
      </w:pPr>
      <w:r>
        <w:rPr>
          <w:bCs/>
          <w:b/>
        </w:rPr>
        <w:t xml:space="preserve">Applicable Jurisdiction:</w:t>
      </w:r>
      <w:r>
        <w:t xml:space="preserve"> </w:t>
      </w:r>
      <w:r>
        <w:t xml:space="preserve">Bombay High Court, District Courts of Mumbai, and All Applicable Tribunals in Maharashtra, India</w:t>
      </w:r>
    </w:p>
    <w:bookmarkStart w:id="24" w:name="scope-of-legal-services"/>
    <w:p>
      <w:pPr>
        <w:pStyle w:val="Heading2"/>
      </w:pPr>
      <w:r>
        <w:t xml:space="preserve">1. Scope of Legal Services</w:t>
      </w:r>
    </w:p>
    <w:p>
      <w:pPr>
        <w:pStyle w:val="FirstParagraph"/>
      </w:pPr>
      <w:r>
        <w:t xml:space="preserve">This</w:t>
      </w:r>
      <w:r>
        <w:t xml:space="preserve"> </w:t>
      </w:r>
      <w:r>
        <w:t xml:space="preserve">Quotation Estimate</w:t>
      </w:r>
      <w:r>
        <w:t xml:space="preserve"> </w:t>
      </w:r>
      <w:r>
        <w:t xml:space="preserve">is issued by</w:t>
      </w:r>
      <w:r>
        <w:t xml:space="preserve"> </w:t>
      </w:r>
      <w:r>
        <w:t xml:space="preserve">Adv. Rajesh K. Sharma &amp; Associates</w:t>
      </w:r>
      <w:r>
        <w:t xml:space="preserve">, a duly registered law firm practicing in</w:t>
      </w:r>
      <w:r>
        <w:t xml:space="preserve"> </w:t>
      </w:r>
      <w:r>
        <w:t xml:space="preserve">Mumbai, India</w:t>
      </w:r>
      <w:r>
        <w:t xml:space="preserve">, to provide the client with a transparent and itemized breakdown of professional</w:t>
      </w:r>
      <w:r>
        <w:t xml:space="preserve"> </w:t>
      </w:r>
      <w:r>
        <w:t xml:space="preserve">Lawyer</w:t>
      </w:r>
      <w:r>
        <w:t xml:space="preserve"> </w:t>
      </w:r>
      <w:r>
        <w:t xml:space="preserve">fees for the engagement described below. The services encompass civil litigation, corporate advisory, contract drafting, and dispute resolution as applicable under the laws of India, including but not limited to the Indian Contract Act, 1872; the Code of Civil Procedure, 1908; the Specific Relief Act, 1963; and the applicable provisions of the Bombay High Court Rules.</w:t>
      </w:r>
    </w:p>
    <w:bookmarkEnd w:id="24"/>
    <w:bookmarkStart w:id="25" w:name="itemized-fee-structure"/>
    <w:p>
      <w:pPr>
        <w:pStyle w:val="Heading2"/>
      </w:pPr>
      <w:r>
        <w:t xml:space="preserve">2. Itemized Fee Structure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Description of Legal Service</w:t>
            </w:r>
          </w:p>
        </w:tc>
        <w:tc>
          <w:tcPr/>
          <w:p>
            <w:pPr>
              <w:pStyle w:val="Compact"/>
              <w:jc w:val="left"/>
            </w:pPr>
            <w:r>
              <w:t xml:space="preserve">Applicable Court / Forum</w:t>
            </w:r>
          </w:p>
        </w:tc>
        <w:tc>
          <w:tcPr/>
          <w:p>
            <w:pPr>
              <w:pStyle w:val="Compact"/>
              <w:jc w:val="left"/>
            </w:pPr>
            <w:r>
              <w:t xml:space="preserve">Estimated Hours</w:t>
            </w:r>
          </w:p>
        </w:tc>
        <w:tc>
          <w:tcPr/>
          <w:p>
            <w:pPr>
              <w:pStyle w:val="Compact"/>
              <w:jc w:val="left"/>
            </w:pPr>
            <w:r>
              <w:t xml:space="preserve">Rate (INR / Hour)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Initial Legal Consultation &amp; Case Assessment (in-person at Mumbai office)</w:t>
            </w:r>
          </w:p>
        </w:tc>
        <w:tc>
          <w:tcPr/>
          <w:p>
            <w:pPr>
              <w:pStyle w:val="Compact"/>
              <w:jc w:val="left"/>
            </w:pPr>
            <w:r>
              <w:t xml:space="preserve">N/A</w:t>
            </w:r>
          </w:p>
        </w:tc>
        <w:tc>
          <w:tcPr/>
          <w:p>
            <w:pPr>
              <w:pStyle w:val="Compact"/>
              <w:jc w:val="left"/>
            </w:pPr>
            <w:r>
              <w:t xml:space="preserve">2 hours</w:t>
            </w:r>
          </w:p>
        </w:tc>
        <w:tc>
          <w:tcPr/>
          <w:p>
            <w:pPr>
              <w:pStyle w:val="Compact"/>
              <w:jc w:val="left"/>
            </w:pPr>
            <w:r>
              <w:t xml:space="preserve">₹ 2,500</w:t>
            </w:r>
          </w:p>
        </w:tc>
        <w:tc>
          <w:tcPr/>
          <w:p>
            <w:pPr>
              <w:pStyle w:val="Compact"/>
              <w:jc w:val="left"/>
            </w:pPr>
            <w:r>
              <w:t xml:space="preserve">₹ 5,000</w:t>
            </w:r>
          </w:p>
        </w:tc>
      </w:tr>
      <w:tr>
        <w:tc>
          <w:tcPr/>
          <w:p>
            <w:pPr>
              <w:pStyle w:val="Compact"/>
              <w:jc w:val="left"/>
            </w:pPr>
            <w:r>
              <w:t xml:space="preserve">2</w:t>
            </w:r>
          </w:p>
        </w:tc>
        <w:tc>
          <w:tcPr/>
          <w:p>
            <w:pPr>
              <w:pStyle w:val="Compact"/>
              <w:jc w:val="left"/>
            </w:pPr>
            <w:r>
              <w:t xml:space="preserve">Drafting &amp; Filing of Civil Suit / Writ Petition</w:t>
            </w:r>
          </w:p>
        </w:tc>
        <w:tc>
          <w:tcPr/>
          <w:p>
            <w:pPr>
              <w:pStyle w:val="Compact"/>
              <w:jc w:val="left"/>
            </w:pPr>
            <w:r>
              <w:t xml:space="preserve">Bombay High Court, Mumbai</w:t>
            </w:r>
          </w:p>
        </w:tc>
        <w:tc>
          <w:tcPr/>
          <w:p>
            <w:pPr>
              <w:pStyle w:val="Compact"/>
              <w:jc w:val="left"/>
            </w:pPr>
            <w:r>
              <w:t xml:space="preserve">12 hours</w:t>
            </w:r>
          </w:p>
        </w:tc>
        <w:tc>
          <w:tcPr/>
          <w:p>
            <w:pPr>
              <w:pStyle w:val="Compact"/>
              <w:jc w:val="left"/>
            </w:pPr>
            <w:r>
              <w:t xml:space="preserve">₹ 3,500</w:t>
            </w:r>
          </w:p>
        </w:tc>
        <w:tc>
          <w:tcPr/>
          <w:p>
            <w:pPr>
              <w:pStyle w:val="Compact"/>
              <w:jc w:val="left"/>
            </w:pPr>
            <w:r>
              <w:t xml:space="preserve">₹ 42,000</w:t>
            </w:r>
          </w:p>
        </w:tc>
      </w:tr>
      <w:tr>
        <w:tc>
          <w:tcPr/>
          <w:p>
            <w:pPr>
              <w:pStyle w:val="Compact"/>
              <w:jc w:val="left"/>
            </w:pPr>
            <w:r>
              <w:t xml:space="preserve">3</w:t>
            </w:r>
          </w:p>
        </w:tc>
        <w:tc>
          <w:tcPr/>
          <w:p>
            <w:pPr>
              <w:pStyle w:val="Compact"/>
              <w:jc w:val="left"/>
            </w:pPr>
            <w:r>
              <w:t xml:space="preserve">Appearance &amp; Arguments at Hearings (per hearing day)</w:t>
            </w:r>
          </w:p>
        </w:tc>
        <w:tc>
          <w:tcPr/>
          <w:p>
            <w:pPr>
              <w:pStyle w:val="Compact"/>
              <w:jc w:val="left"/>
            </w:pPr>
            <w:r>
              <w:t xml:space="preserve">Bombay High Court / District Court, Mumbai</w:t>
            </w:r>
          </w:p>
        </w:tc>
        <w:tc>
          <w:tcPr/>
          <w:p>
            <w:pPr>
              <w:pStyle w:val="Compact"/>
              <w:jc w:val="left"/>
            </w:pPr>
            <w:r>
              <w:t xml:space="preserve">8 hours (est. 4 days)</w:t>
            </w:r>
          </w:p>
        </w:tc>
        <w:tc>
          <w:tcPr/>
          <w:p>
            <w:pPr>
              <w:pStyle w:val="Compact"/>
              <w:jc w:val="left"/>
            </w:pPr>
            <w:r>
              <w:t xml:space="preserve">₹ 4,000</w:t>
            </w:r>
          </w:p>
        </w:tc>
        <w:tc>
          <w:tcPr/>
          <w:p>
            <w:pPr>
              <w:pStyle w:val="Compact"/>
              <w:jc w:val="left"/>
            </w:pPr>
            <w:r>
              <w:t xml:space="preserve">₹ 32,000</w:t>
            </w:r>
          </w:p>
        </w:tc>
      </w:tr>
      <w:tr>
        <w:tc>
          <w:tcPr/>
          <w:p>
            <w:pPr>
              <w:pStyle w:val="Compact"/>
              <w:jc w:val="left"/>
            </w:pPr>
            <w:r>
              <w:t xml:space="preserve">4</w:t>
            </w:r>
          </w:p>
        </w:tc>
        <w:tc>
          <w:tcPr/>
          <w:p>
            <w:pPr>
              <w:pStyle w:val="Compact"/>
              <w:jc w:val="left"/>
            </w:pPr>
            <w:r>
              <w:t xml:space="preserve">Preparation of Written Submissions, Rejoinders &amp; Affidavits</w:t>
            </w:r>
          </w:p>
        </w:tc>
        <w:tc>
          <w:tcPr/>
          <w:p>
            <w:pPr>
              <w:pStyle w:val="Compact"/>
              <w:jc w:val="left"/>
            </w:pPr>
            <w:r>
              <w:t xml:space="preserve">As per Court Direction</w:t>
            </w:r>
          </w:p>
        </w:tc>
        <w:tc>
          <w:tcPr/>
          <w:p>
            <w:pPr>
              <w:pStyle w:val="Compact"/>
              <w:jc w:val="left"/>
            </w:pPr>
            <w:r>
              <w:t xml:space="preserve">10 hours</w:t>
            </w:r>
          </w:p>
        </w:tc>
        <w:tc>
          <w:tcPr/>
          <w:p>
            <w:pPr>
              <w:pStyle w:val="Compact"/>
              <w:jc w:val="left"/>
            </w:pPr>
            <w:r>
              <w:t xml:space="preserve">₹ 3,000</w:t>
            </w:r>
          </w:p>
        </w:tc>
        <w:tc>
          <w:tcPr/>
          <w:p>
            <w:pPr>
              <w:pStyle w:val="Compact"/>
              <w:jc w:val="left"/>
            </w:pPr>
            <w:r>
              <w:t xml:space="preserve">₹ 30,000</w:t>
            </w:r>
          </w:p>
        </w:tc>
      </w:tr>
      <w:tr>
        <w:tc>
          <w:tcPr/>
          <w:p>
            <w:pPr>
              <w:pStyle w:val="Compact"/>
              <w:jc w:val="left"/>
            </w:pPr>
            <w:r>
              <w:t xml:space="preserve">5</w:t>
            </w:r>
          </w:p>
        </w:tc>
        <w:tc>
          <w:tcPr/>
          <w:p>
            <w:pPr>
              <w:pStyle w:val="Compact"/>
              <w:jc w:val="left"/>
            </w:pPr>
            <w:r>
              <w:t xml:space="preserve">Corporate Contract Review &amp; Negotiation Support</w:t>
            </w:r>
          </w:p>
        </w:tc>
        <w:tc>
          <w:tcPr/>
          <w:p>
            <w:pPr>
              <w:pStyle w:val="Compact"/>
              <w:jc w:val="left"/>
            </w:pPr>
            <w:r>
              <w:t xml:space="preserve">N/A (Advisory)</w:t>
            </w:r>
          </w:p>
        </w:tc>
        <w:tc>
          <w:tcPr/>
          <w:p>
            <w:pPr>
              <w:pStyle w:val="Compact"/>
              <w:jc w:val="left"/>
            </w:pPr>
            <w:r>
              <w:t xml:space="preserve">6 hours</w:t>
            </w:r>
          </w:p>
        </w:tc>
        <w:tc>
          <w:tcPr/>
          <w:p>
            <w:pPr>
              <w:pStyle w:val="Compact"/>
              <w:jc w:val="left"/>
            </w:pPr>
            <w:r>
              <w:t xml:space="preserve">₹ 3,500</w:t>
            </w:r>
          </w:p>
        </w:tc>
        <w:tc>
          <w:tcPr/>
          <w:p>
            <w:pPr>
              <w:pStyle w:val="Compact"/>
              <w:jc w:val="left"/>
            </w:pPr>
            <w:r>
              <w:t xml:space="preserve">₹ 21,000</w:t>
            </w:r>
          </w:p>
        </w:tc>
      </w:tr>
      <w:tr>
        <w:tc>
          <w:tcPr/>
          <w:p>
            <w:pPr>
              <w:pStyle w:val="Compact"/>
              <w:jc w:val="left"/>
            </w:pPr>
            <w:r>
              <w:t xml:space="preserve">6</w:t>
            </w:r>
          </w:p>
        </w:tc>
        <w:tc>
          <w:tcPr/>
          <w:p>
            <w:pPr>
              <w:pStyle w:val="Compact"/>
              <w:jc w:val="left"/>
            </w:pPr>
            <w:r>
              <w:t xml:space="preserve">Mediation / Conciliation Proceedings (if applicable)</w:t>
            </w:r>
          </w:p>
        </w:tc>
        <w:tc>
          <w:tcPr/>
          <w:p>
            <w:pPr>
              <w:pStyle w:val="Compact"/>
              <w:jc w:val="left"/>
            </w:pPr>
            <w:r>
              <w:t xml:space="preserve">Mumbai Mediation Centre</w:t>
            </w:r>
          </w:p>
        </w:tc>
        <w:tc>
          <w:tcPr/>
          <w:p>
            <w:pPr>
              <w:pStyle w:val="Compact"/>
              <w:jc w:val="left"/>
            </w:pPr>
            <w:r>
              <w:t xml:space="preserve">4 hours</w:t>
            </w:r>
          </w:p>
        </w:tc>
        <w:tc>
          <w:tcPr/>
          <w:p>
            <w:pPr>
              <w:pStyle w:val="Compact"/>
              <w:jc w:val="left"/>
            </w:pPr>
            <w:r>
              <w:t xml:space="preserve">₹ 3,000</w:t>
            </w:r>
          </w:p>
        </w:tc>
        <w:tc>
          <w:tcPr/>
          <w:p>
            <w:pPr>
              <w:pStyle w:val="Compact"/>
              <w:jc w:val="left"/>
            </w:pPr>
            <w:r>
              <w:t xml:space="preserve">₹ 12,000</w:t>
            </w:r>
          </w:p>
        </w:tc>
      </w:tr>
      <w:tr>
        <w:tc>
          <w:tcPr/>
          <w:p>
            <w:pPr>
              <w:pStyle w:val="Compact"/>
              <w:jc w:val="left"/>
            </w:pPr>
            <w:r>
              <w:t xml:space="preserve">7</w:t>
            </w:r>
          </w:p>
        </w:tc>
        <w:tc>
          <w:tcPr/>
          <w:p>
            <w:pPr>
              <w:pStyle w:val="Compact"/>
              <w:jc w:val="left"/>
            </w:pPr>
            <w:r>
              <w:t xml:space="preserve">Post-Judgment Execution &amp; Compliance Monitoring</w:t>
            </w:r>
          </w:p>
        </w:tc>
        <w:tc>
          <w:tcPr/>
          <w:p>
            <w:pPr>
              <w:pStyle w:val="Compact"/>
              <w:jc w:val="left"/>
            </w:pPr>
            <w:r>
              <w:t xml:space="preserve">District Court, Mumbai</w:t>
            </w:r>
          </w:p>
        </w:tc>
        <w:tc>
          <w:tcPr/>
          <w:p>
            <w:pPr>
              <w:pStyle w:val="Compact"/>
              <w:jc w:val="left"/>
            </w:pPr>
            <w:r>
              <w:t xml:space="preserve">6 hours</w:t>
            </w:r>
          </w:p>
        </w:tc>
        <w:tc>
          <w:tcPr/>
          <w:p>
            <w:pPr>
              <w:pStyle w:val="Compact"/>
              <w:jc w:val="left"/>
            </w:pPr>
            <w:r>
              <w:t xml:space="preserve">₹ 3,000</w:t>
            </w:r>
          </w:p>
        </w:tc>
        <w:tc>
          <w:tcPr/>
          <w:p>
            <w:pPr>
              <w:pStyle w:val="Compact"/>
              <w:jc w:val="left"/>
            </w:pPr>
            <w:r>
              <w:t xml:space="preserve">₹ 18,000</w:t>
            </w:r>
          </w:p>
        </w:tc>
      </w:tr>
      <w:tr>
        <w:tc>
          <w:tcPr/>
          <w:p>
            <w:pPr>
              <w:pStyle w:val="Compact"/>
              <w:jc w:val="left"/>
            </w:pPr>
            <w:r>
              <w:t xml:space="preserve">8</w:t>
            </w:r>
          </w:p>
        </w:tc>
        <w:tc>
          <w:tcPr/>
          <w:p>
            <w:pPr>
              <w:pStyle w:val="Compact"/>
              <w:jc w:val="left"/>
            </w:pPr>
            <w:r>
              <w:t xml:space="preserve">Administrative &amp; Filing Charges (Court Fees, Stamp Duty, Process Fees)</w:t>
            </w:r>
          </w:p>
        </w:tc>
        <w:tc>
          <w:tcPr/>
          <w:p>
            <w:pPr>
              <w:pStyle w:val="Compact"/>
              <w:jc w:val="left"/>
            </w:pPr>
            <w:r>
              <w:t xml:space="preserve">As per Maharashtra Court Fees Act</w:t>
            </w:r>
          </w:p>
        </w:tc>
        <w:tc>
          <w:tcPr/>
          <w:p>
            <w:pPr>
              <w:pStyle w:val="Compact"/>
              <w:jc w:val="left"/>
            </w:pPr>
            <w:r>
              <w:t xml:space="preserve">—</w:t>
            </w:r>
          </w:p>
        </w:tc>
        <w:tc>
          <w:tcPr/>
          <w:p>
            <w:pPr>
              <w:pStyle w:val="Compact"/>
              <w:jc w:val="left"/>
            </w:pPr>
            <w:r>
              <w:t xml:space="preserve">—</w:t>
            </w:r>
          </w:p>
        </w:tc>
        <w:tc>
          <w:tcPr/>
          <w:p>
            <w:pPr>
              <w:pStyle w:val="Compact"/>
              <w:jc w:val="left"/>
            </w:pPr>
            <w:r>
              <w:t xml:space="preserve">₹ 15,000 (est.)</w:t>
            </w:r>
          </w:p>
        </w:tc>
      </w:tr>
      <w:tr>
        <w:tc>
          <w:tcPr>
            <w:gridSpan w:val="5"/>
          </w:tcPr>
          <w:p>
            <w:pPr>
              <w:pStyle w:val="Compact"/>
              <w:jc w:val="right"/>
            </w:pPr>
            <w:r>
              <w:t xml:space="preserve">Grand Total (Inclusive of all professional fees)</w:t>
            </w:r>
          </w:p>
        </w:tc>
        <w:tc>
          <w:tcPr/>
          <w:p>
            <w:pPr>
              <w:pStyle w:val="Compact"/>
              <w:jc w:val="left"/>
            </w:pPr>
            <w:r>
              <w:t xml:space="preserve">₹ 1,75,000</w:t>
            </w:r>
          </w:p>
        </w:tc>
      </w:tr>
      <w:tr>
        <w:tc>
          <w:tcPr>
            <w:gridSpan w:val="5"/>
          </w:tcPr>
          <w:p>
            <w:pPr>
              <w:pStyle w:val="Compact"/>
              <w:jc w:val="right"/>
            </w:pPr>
            <w:r>
              <w:t xml:space="preserve">GST @ 18% (as applicable under Indian tax law)</w:t>
            </w:r>
          </w:p>
        </w:tc>
        <w:tc>
          <w:tcPr/>
          <w:p>
            <w:pPr>
              <w:pStyle w:val="Compact"/>
              <w:jc w:val="left"/>
            </w:pPr>
            <w:r>
              <w:t xml:space="preserve">₹ 31,500</w:t>
            </w:r>
          </w:p>
        </w:tc>
      </w:tr>
      <w:tr>
        <w:tc>
          <w:tcPr>
            <w:gridSpan w:val="5"/>
          </w:tcPr>
          <w:p>
            <w:pPr>
              <w:pStyle w:val="Compact"/>
              <w:jc w:val="right"/>
            </w:pPr>
            <w:r>
              <w:rPr>
                <w:bCs/>
                <w:b/>
              </w:rPr>
              <w:t xml:space="preserve">Net Payable Amount (INR)</w:t>
            </w:r>
          </w:p>
        </w:tc>
        <w:tc>
          <w:tcPr/>
          <w:p>
            <w:pPr>
              <w:pStyle w:val="Compact"/>
              <w:jc w:val="left"/>
            </w:pPr>
            <w:r>
              <w:rPr>
                <w:bCs/>
                <w:b/>
              </w:rPr>
              <w:t xml:space="preserve">₹ 2,06,500</w:t>
            </w:r>
          </w:p>
        </w:tc>
      </w:tr>
    </w:tbl>
    <w:bookmarkEnd w:id="25"/>
    <w:bookmarkStart w:id="26" w:name="payment-terms"/>
    <w:p>
      <w:pPr>
        <w:pStyle w:val="Heading2"/>
      </w:pPr>
      <w:r>
        <w:t xml:space="preserve">3. Payment Terms</w:t>
      </w:r>
    </w:p>
    <w:p>
      <w:pPr>
        <w:pStyle w:val="FirstParagraph"/>
      </w:pPr>
      <w:r>
        <w:t xml:space="preserve">The above</w:t>
      </w:r>
      <w:r>
        <w:t xml:space="preserve"> </w:t>
      </w:r>
      <w:r>
        <w:t xml:space="preserve">Quotation Estimate</w:t>
      </w:r>
      <w:r>
        <w:t xml:space="preserve"> </w:t>
      </w:r>
      <w:r>
        <w:t xml:space="preserve">shall be payable as follows: 40% advance upon execution of the Retainer Agreement; 30% upon filing of the principal petition before the Bombay High Court or the relevant District Court in Mumbai; and the remaining 30% upon conclusion of the matter or upon the final hearing date, whichever is earlier. All payments shall be made via bank transfer to the firm’s designated account in Mumbai, India. Cheques shall be drawn in favour of “Adv. Rajesh K. Sharma &amp; Associates.”</w:t>
      </w:r>
    </w:p>
    <w:bookmarkEnd w:id="26"/>
    <w:bookmarkStart w:id="27" w:name="terms-conditions"/>
    <w:p>
      <w:pPr>
        <w:pStyle w:val="Heading2"/>
      </w:pPr>
      <w:r>
        <w:t xml:space="preserve">4. Terms &amp; Conditions</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the</w:t>
      </w:r>
      <w:r>
        <w:t xml:space="preserve"> </w:t>
      </w:r>
      <w:r>
        <w:t xml:space="preserve">Lawyer</w:t>
      </w:r>
      <w:r>
        <w:t xml:space="preserve"> </w:t>
      </w:r>
      <w:r>
        <w:t xml:space="preserve">reserves the right to revise the fee structure based on prevailing market rates in Mumbai, India.</w:t>
      </w:r>
    </w:p>
    <w:p>
      <w:pPr>
        <w:numPr>
          <w:ilvl w:val="0"/>
          <w:numId w:val="1001"/>
        </w:numPr>
        <w:pStyle w:val="Compact"/>
      </w:pPr>
      <w:r>
        <w:t xml:space="preserve">All fees quoted are exclusive of out-of-pocket expenses such as travel within Mumbai city limits, photocopying, courier charges, and any expert witness fees, which shall be billed separately at actual cost.</w:t>
      </w:r>
    </w:p>
    <w:p>
      <w:pPr>
        <w:numPr>
          <w:ilvl w:val="0"/>
          <w:numId w:val="1001"/>
        </w:numPr>
        <w:pStyle w:val="Compact"/>
      </w:pPr>
      <w:r>
        <w:t xml:space="preserve">The</w:t>
      </w:r>
      <w:r>
        <w:t xml:space="preserve"> </w:t>
      </w:r>
      <w:r>
        <w:t xml:space="preserve">Lawyer</w:t>
      </w:r>
      <w:r>
        <w:t xml:space="preserve"> </w:t>
      </w:r>
      <w:r>
        <w:t xml:space="preserve">shall maintain strict confidentiality of all client information in accordance with the Advocates Act, 1961, and the Rules of Professional Conduct prescribed by the Bar Council of India.</w:t>
      </w:r>
    </w:p>
    <w:p>
      <w:pPr>
        <w:numPr>
          <w:ilvl w:val="0"/>
          <w:numId w:val="1001"/>
        </w:numPr>
        <w:pStyle w:val="Compact"/>
      </w:pPr>
      <w:r>
        <w:t xml:space="preserve">Any additional legal work beyond the scope described in this estimate shall require a separate written amendment to this</w:t>
      </w:r>
      <w:r>
        <w:t xml:space="preserve"> </w:t>
      </w:r>
      <w:r>
        <w:t xml:space="preserve">Quotation Estimate</w:t>
      </w:r>
      <w:r>
        <w:t xml:space="preserve">, signed by both parties.</w:t>
      </w:r>
    </w:p>
    <w:p>
      <w:pPr>
        <w:numPr>
          <w:ilvl w:val="0"/>
          <w:numId w:val="1001"/>
        </w:numPr>
        <w:pStyle w:val="Compact"/>
      </w:pPr>
      <w:r>
        <w:t xml:space="preserve">The client acknowledges that the</w:t>
      </w:r>
      <w:r>
        <w:t xml:space="preserve"> </w:t>
      </w:r>
      <w:r>
        <w:t xml:space="preserve">Lawyer</w:t>
      </w:r>
      <w:r>
        <w:t xml:space="preserve"> </w:t>
      </w:r>
      <w:r>
        <w:t xml:space="preserve">does not guarantee any specific outcome in litigation. The fees represent compensation for professional time, expertise, and effort expended in Mumbai, India.</w:t>
      </w:r>
    </w:p>
    <w:p>
      <w:pPr>
        <w:numPr>
          <w:ilvl w:val="0"/>
          <w:numId w:val="1001"/>
        </w:numPr>
        <w:pStyle w:val="Compact"/>
      </w:pPr>
      <w:r>
        <w:t xml:space="preserve">Disputes arising from this engagement shall be subject to the exclusive jurisdiction of the courts at Mumbai, Maharashtra, India.</w:t>
      </w:r>
    </w:p>
    <w:p>
      <w:pPr>
        <w:numPr>
          <w:ilvl w:val="0"/>
          <w:numId w:val="1001"/>
        </w:numPr>
        <w:pStyle w:val="Compact"/>
      </w:pPr>
      <w:r>
        <w:t xml:space="preserve">This estimate does not constitute a binding contract until a formal Retainer / Engagement Agreement is executed by both parties.</w:t>
      </w:r>
    </w:p>
    <w:p>
      <w:pPr>
        <w:numPr>
          <w:ilvl w:val="0"/>
          <w:numId w:val="1001"/>
        </w:numPr>
        <w:pStyle w:val="Compact"/>
      </w:pPr>
      <w:r>
        <w:t xml:space="preserve">The</w:t>
      </w:r>
      <w:r>
        <w:t xml:space="preserve"> </w:t>
      </w:r>
      <w:r>
        <w:t xml:space="preserve">Lawyer</w:t>
      </w:r>
      <w:r>
        <w:t xml:space="preserve"> </w:t>
      </w:r>
      <w:r>
        <w:t xml:space="preserve">may withdraw from the engagement upon providing thirty (30) days’ written notice, subject to the client’s payment of fees for work already performed.</w:t>
      </w:r>
    </w:p>
    <w:p>
      <w:pPr>
        <w:pStyle w:val="FirstParagraph"/>
      </w:pPr>
      <w:r>
        <w:rPr>
          <w:bCs/>
          <w:b/>
        </w:rPr>
        <w:t xml:space="preserve">Note:</w:t>
      </w:r>
      <w:r>
        <w:t xml:space="preserve"> </w:t>
      </w:r>
      <w:r>
        <w:t xml:space="preserve">This</w:t>
      </w:r>
      <w:r>
        <w:t xml:space="preserve"> </w:t>
      </w:r>
      <w:r>
        <w:t xml:space="preserve">Quotation Estimate</w:t>
      </w:r>
      <w:r>
        <w:t xml:space="preserve"> </w:t>
      </w:r>
      <w:r>
        <w:t xml:space="preserve">is prepared exclusively for the named client and is not transferable. All legal services shall be rendered in compliance with the laws of India, the regulations of the Bar Council of Maharashtra &amp; Goa, and the professional ethics code of the Indian legal profession. The</w:t>
      </w:r>
      <w:r>
        <w:t xml:space="preserve"> </w:t>
      </w:r>
      <w:r>
        <w:t xml:space="preserve">Lawyer</w:t>
      </w:r>
      <w:r>
        <w:t xml:space="preserve"> </w:t>
      </w:r>
      <w:r>
        <w:t xml:space="preserve">firm is registered and operates from its principal office in Mumbai, India, and all correspondence shall be directed to the address mentioned above.</w:t>
      </w:r>
    </w:p>
    <w:bookmarkEnd w:id="27"/>
    <w:bookmarkStart w:id="28" w:name="acceptance-authorization"/>
    <w:p>
      <w:pPr>
        <w:pStyle w:val="Heading2"/>
      </w:pPr>
      <w:r>
        <w:t xml:space="preserve">5. Acceptance &amp;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fee structure outlined herein for the engagement of the</w:t>
      </w:r>
      <w:r>
        <w:t xml:space="preserve"> </w:t>
      </w:r>
      <w:r>
        <w:t xml:space="preserve">Lawyer</w:t>
      </w:r>
      <w:r>
        <w:t xml:space="preserve"> </w:t>
      </w:r>
      <w:r>
        <w:t xml:space="preserve">in Mumbai, India.</w:t>
      </w:r>
    </w:p>
    <w:p>
      <w:pPr>
        <w:pStyle w:val="BodyText"/>
      </w:pPr>
      <w:r>
        <w:rPr>
          <w:bCs/>
          <w:b/>
        </w:rPr>
        <w:t xml:space="preserve">For Adv. Rajesh K. Sharma &amp; Associates</w:t>
      </w:r>
      <w:r>
        <w:br/>
      </w:r>
      <w:r>
        <w:t xml:space="preserve">(Lawyer / Authorized Signatory)</w:t>
      </w:r>
      <w:r>
        <w:br/>
      </w:r>
      <w:r>
        <w:t xml:space="preserve">Mumbai, India</w:t>
      </w:r>
      <w:r>
        <w:br/>
      </w:r>
      <w:r>
        <w:t xml:space="preserve">Date: _______________</w:t>
      </w:r>
    </w:p>
    <w:p>
      <w:pPr>
        <w:pStyle w:val="BodyText"/>
      </w:pPr>
      <w:r>
        <w:rPr>
          <w:bCs/>
          <w:b/>
        </w:rPr>
        <w:t xml:space="preserve">For the Client</w:t>
      </w:r>
      <w:r>
        <w:br/>
      </w:r>
      <w:r>
        <w:t xml:space="preserve">(Name &amp; Signature)</w:t>
      </w:r>
      <w:r>
        <w:br/>
      </w:r>
      <w:r>
        <w:t xml:space="preserve">Mumbai, India</w:t>
      </w:r>
      <w:r>
        <w:br/>
      </w:r>
      <w:r>
        <w:t xml:space="preserve">Date: _______________</w:t>
      </w:r>
    </w:p>
    <w:p>
      <w:pPr>
        <w:pStyle w:val="BodyText"/>
      </w:pPr>
      <w:r>
        <w:t xml:space="preserve">Quotation Estimate No. QE/2025/MUM/00472 — Page 1 of 1</w:t>
      </w:r>
    </w:p>
    <w:p>
      <w:pPr>
        <w:pStyle w:val="BodyText"/>
      </w:pPr>
      <w:r>
        <w:t xml:space="preserve">Adv. Rajesh K. Sharma &amp; Associates | Nariman Point, Mumbai – 400021, Maharashtra, India</w:t>
      </w:r>
    </w:p>
    <w:p>
      <w:pPr>
        <w:pStyle w:val="BodyText"/>
      </w:pPr>
      <w:r>
        <w:t xml:space="preserve">This document is generated electronically and is valid without a physical stamp. For queries, contact the firm’s office in Mumbai, India.</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Legal Services - Mumbai, India</dc:title>
  <dc:creator/>
  <dc:language>en</dc:language>
  <cp:keywords/>
  <dcterms:created xsi:type="dcterms:W3CDTF">2026-10-10T07:25:56Z</dcterms:created>
  <dcterms:modified xsi:type="dcterms:W3CDTF">2026-10-10T07:25:56Z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